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15175</w:t>
      </w:r>
      <w:bookmarkStart w:id="8" w:name="_GoBack"/>
      <w:bookmarkEnd w:id="8"/>
    </w:p>
    <w:p>
      <w:pPr>
        <w:tabs>
          <w:tab w:val="left" w:pos="3106"/>
          <w:tab w:val="center" w:pos="4536"/>
          <w:tab w:val="right" w:pos="9072"/>
        </w:tabs>
        <w:jc w:val="both"/>
        <w:rPr>
          <w:rFonts w:ascii="Arial" w:hAnsi="Arial" w:cs="Arial"/>
          <w:b/>
          <w:bCs/>
        </w:rPr>
      </w:pPr>
      <w:r>
        <w:rPr>
          <w:rFonts w:hint="eastAsia" w:ascii="Arial" w:hAnsi="Arial" w:eastAsia="宋体" w:cs="Arial"/>
          <w:b/>
        </w:rPr>
        <w:t xml:space="preserve">Xiamen, China, October 09 </w:t>
      </w:r>
      <w:r>
        <w:rPr>
          <w:rFonts w:hint="eastAsia" w:ascii="Arial" w:hAnsi="Arial" w:eastAsia="宋体" w:cs="Arial"/>
          <w:b/>
          <w:lang w:val="en-US" w:eastAsia="zh-CN"/>
        </w:rPr>
        <w:t>-</w:t>
      </w:r>
      <w:r>
        <w:rPr>
          <w:rFonts w:hint="eastAsia" w:ascii="Arial" w:hAnsi="Arial" w:eastAsia="宋体" w:cs="Arial"/>
          <w:b/>
        </w:rPr>
        <w:t xml:space="preserve"> October 13, 2023</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lang w:val="en-US" w:eastAsia="zh-CN"/>
        </w:rPr>
        <w:t>5</w:t>
      </w:r>
      <w:r>
        <w:rPr>
          <w:sz w:val="22"/>
        </w:rPr>
        <w:t>.3</w:t>
      </w:r>
      <w:r>
        <w:rPr>
          <w:rFonts w:hint="eastAsia"/>
          <w:sz w:val="22"/>
          <w:lang w:val="en-US" w:eastAsia="zh-CN"/>
        </w:rPr>
        <w:t>4</w:t>
      </w:r>
      <w:r>
        <w:rPr>
          <w:sz w:val="22"/>
        </w:rPr>
        <w:t>.</w:t>
      </w:r>
      <w:r>
        <w:rPr>
          <w:rFonts w:hint="eastAsia"/>
          <w:sz w:val="22"/>
          <w:lang w:val="en-US" w:eastAsia="zh-CN"/>
        </w:rPr>
        <w:t>3.2</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SSB-less SCell operation for network energy saving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sz w:val="20"/>
          <w:szCs w:val="20"/>
        </w:rPr>
      </w:pPr>
      <w:r>
        <w:rPr>
          <w:sz w:val="20"/>
          <w:szCs w:val="20"/>
        </w:rPr>
        <w:t xml:space="preserve">In last meeting, </w:t>
      </w:r>
      <w:r>
        <w:rPr>
          <w:rFonts w:hint="eastAsia"/>
          <w:sz w:val="20"/>
          <w:szCs w:val="20"/>
          <w:lang w:val="en-US" w:eastAsia="zh-CN"/>
        </w:rPr>
        <w:t>RAN4</w:t>
      </w:r>
      <w:r>
        <w:rPr>
          <w:rFonts w:hint="default"/>
          <w:sz w:val="20"/>
          <w:szCs w:val="20"/>
          <w:lang w:val="en-US" w:eastAsia="zh-CN"/>
        </w:rPr>
        <w:t>’</w:t>
      </w:r>
      <w:r>
        <w:rPr>
          <w:rFonts w:hint="eastAsia"/>
          <w:sz w:val="20"/>
          <w:szCs w:val="20"/>
          <w:lang w:val="en-US" w:eastAsia="zh-CN"/>
        </w:rPr>
        <w:t>s discussion focus on the NES scenario and the RTD conditions for scenario 1. I</w:t>
      </w:r>
      <w:r>
        <w:rPr>
          <w:sz w:val="20"/>
          <w:szCs w:val="20"/>
        </w:rPr>
        <w:t xml:space="preserve">n this contribution, we </w:t>
      </w:r>
      <w:r>
        <w:rPr>
          <w:rFonts w:hint="eastAsia"/>
          <w:sz w:val="20"/>
          <w:szCs w:val="20"/>
          <w:lang w:val="en-US" w:eastAsia="zh-CN"/>
        </w:rPr>
        <w:t xml:space="preserve">keep focusing on Scenario 1 and </w:t>
      </w:r>
      <w:r>
        <w:rPr>
          <w:sz w:val="20"/>
          <w:szCs w:val="20"/>
        </w:rPr>
        <w:t>further provide our views on the side conditions and feasibility study.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2"/>
      <w:bookmarkStart w:id="7" w:name="OLE_LINK1"/>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pStyle w:val="2"/>
        <w:numPr>
          <w:ilvl w:val="1"/>
          <w:numId w:val="3"/>
        </w:numPr>
        <w:pBdr>
          <w:top w:val="single" w:color="auto" w:sz="12"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Feasibility conditions and RRM requirements for SSB-less SCell activation for Scenario 1</w:t>
      </w:r>
    </w:p>
    <w:p>
      <w:pPr>
        <w:rPr>
          <w:b/>
          <w:i/>
          <w:iCs/>
          <w:color w:val="auto"/>
          <w:sz w:val="20"/>
          <w:szCs w:val="20"/>
          <w:highlight w:val="none"/>
          <w:u w:val="single"/>
          <w:lang w:eastAsia="zh-CN"/>
        </w:rPr>
      </w:pPr>
      <w:r>
        <w:rPr>
          <w:b/>
          <w:i/>
          <w:iCs/>
          <w:color w:val="auto"/>
          <w:sz w:val="20"/>
          <w:szCs w:val="20"/>
          <w:highlight w:val="none"/>
          <w:u w:val="single"/>
          <w:lang w:eastAsia="zh-CN"/>
        </w:rPr>
        <w:t>Issue 1-2-1: RTD conditions for scenario 1</w:t>
      </w:r>
    </w:p>
    <w:p>
      <w:pPr>
        <w:pStyle w:val="74"/>
        <w:numPr>
          <w:ilvl w:val="0"/>
          <w:numId w:val="0"/>
        </w:numPr>
        <w:overflowPunct w:val="0"/>
        <w:autoSpaceDE w:val="0"/>
        <w:autoSpaceDN w:val="0"/>
        <w:adjustRightInd w:val="0"/>
        <w:spacing w:after="120" w:line="252" w:lineRule="auto"/>
        <w:rPr>
          <w:bCs/>
          <w:i/>
          <w:iCs/>
          <w:color w:val="auto"/>
          <w:sz w:val="20"/>
          <w:szCs w:val="20"/>
          <w:highlight w:val="none"/>
          <w:lang w:eastAsia="ja-JP"/>
        </w:rPr>
      </w:pPr>
      <w:r>
        <w:rPr>
          <w:bCs/>
          <w:i/>
          <w:iCs/>
          <w:color w:val="auto"/>
          <w:sz w:val="20"/>
          <w:szCs w:val="20"/>
          <w:highlight w:val="none"/>
          <w:lang w:eastAsia="ja-JP"/>
        </w:rPr>
        <w:t>Agreements</w:t>
      </w:r>
    </w:p>
    <w:p>
      <w:pPr>
        <w:pStyle w:val="74"/>
        <w:numPr>
          <w:ilvl w:val="0"/>
          <w:numId w:val="4"/>
        </w:numPr>
        <w:overflowPunct w:val="0"/>
        <w:autoSpaceDE w:val="0"/>
        <w:autoSpaceDN w:val="0"/>
        <w:adjustRightInd w:val="0"/>
        <w:spacing w:after="120" w:line="252" w:lineRule="auto"/>
        <w:ind w:left="644" w:firstLineChars="0"/>
        <w:rPr>
          <w:bCs/>
          <w:i/>
          <w:iCs/>
          <w:color w:val="auto"/>
          <w:sz w:val="20"/>
          <w:szCs w:val="20"/>
          <w:highlight w:val="none"/>
        </w:rPr>
      </w:pPr>
      <w:r>
        <w:rPr>
          <w:bCs/>
          <w:i/>
          <w:iCs/>
          <w:color w:val="auto"/>
          <w:sz w:val="20"/>
          <w:szCs w:val="20"/>
          <w:highlight w:val="none"/>
        </w:rPr>
        <w:t xml:space="preserve">Define requirements for RTD </w:t>
      </w:r>
      <w:r>
        <w:rPr>
          <w:rFonts w:hint="eastAsia"/>
          <w:bCs/>
          <w:i/>
          <w:iCs/>
          <w:color w:val="auto"/>
          <w:sz w:val="20"/>
          <w:szCs w:val="20"/>
          <w:highlight w:val="none"/>
        </w:rPr>
        <w:t>≤</w:t>
      </w:r>
      <w:r>
        <w:rPr>
          <w:bCs/>
          <w:i/>
          <w:iCs/>
          <w:color w:val="auto"/>
          <w:sz w:val="20"/>
          <w:szCs w:val="20"/>
          <w:highlight w:val="none"/>
        </w:rPr>
        <w:t xml:space="preserve"> CP</w:t>
      </w:r>
    </w:p>
    <w:p>
      <w:pPr>
        <w:pStyle w:val="74"/>
        <w:numPr>
          <w:ilvl w:val="1"/>
          <w:numId w:val="4"/>
        </w:numPr>
        <w:overflowPunct w:val="0"/>
        <w:autoSpaceDE w:val="0"/>
        <w:autoSpaceDN w:val="0"/>
        <w:adjustRightInd w:val="0"/>
        <w:spacing w:after="120" w:line="252" w:lineRule="auto"/>
        <w:ind w:left="1064" w:leftChars="0" w:firstLineChars="0"/>
        <w:rPr>
          <w:bCs/>
          <w:i/>
          <w:iCs/>
          <w:color w:val="auto"/>
          <w:sz w:val="20"/>
          <w:szCs w:val="20"/>
          <w:highlight w:val="none"/>
        </w:rPr>
      </w:pPr>
      <w:r>
        <w:rPr>
          <w:bCs/>
          <w:i/>
          <w:iCs/>
          <w:color w:val="auto"/>
          <w:sz w:val="20"/>
          <w:szCs w:val="20"/>
          <w:highlight w:val="none"/>
        </w:rPr>
        <w:t>note: the CP corresponding to the [largest SCS across CCs or SCell SCS]</w:t>
      </w:r>
    </w:p>
    <w:p>
      <w:pPr>
        <w:pStyle w:val="74"/>
        <w:numPr>
          <w:ilvl w:val="0"/>
          <w:numId w:val="4"/>
        </w:numPr>
        <w:overflowPunct w:val="0"/>
        <w:autoSpaceDE w:val="0"/>
        <w:autoSpaceDN w:val="0"/>
        <w:adjustRightInd w:val="0"/>
        <w:spacing w:after="120" w:line="252" w:lineRule="auto"/>
        <w:ind w:left="644" w:firstLineChars="0"/>
        <w:rPr>
          <w:bCs/>
          <w:i/>
          <w:iCs/>
          <w:color w:val="auto"/>
          <w:sz w:val="20"/>
          <w:szCs w:val="20"/>
          <w:highlight w:val="none"/>
        </w:rPr>
      </w:pPr>
      <w:r>
        <w:rPr>
          <w:bCs/>
          <w:i/>
          <w:iCs/>
          <w:color w:val="auto"/>
          <w:sz w:val="20"/>
          <w:szCs w:val="20"/>
          <w:highlight w:val="none"/>
        </w:rPr>
        <w:t>FFS if additional requirements shall be considered for RTD ≤ 260ns</w:t>
      </w:r>
    </w:p>
    <w:p>
      <w:pPr>
        <w:pStyle w:val="74"/>
        <w:numPr>
          <w:ilvl w:val="0"/>
          <w:numId w:val="4"/>
        </w:numPr>
        <w:overflowPunct w:val="0"/>
        <w:autoSpaceDE w:val="0"/>
        <w:autoSpaceDN w:val="0"/>
        <w:adjustRightInd w:val="0"/>
        <w:spacing w:after="120" w:line="252" w:lineRule="auto"/>
        <w:ind w:left="644" w:firstLineChars="0"/>
        <w:rPr>
          <w:bCs/>
          <w:i/>
          <w:iCs/>
          <w:color w:val="auto"/>
          <w:sz w:val="20"/>
          <w:szCs w:val="20"/>
          <w:highlight w:val="none"/>
        </w:rPr>
      </w:pPr>
      <w:r>
        <w:rPr>
          <w:bCs/>
          <w:i/>
          <w:iCs/>
          <w:color w:val="auto"/>
          <w:sz w:val="20"/>
          <w:szCs w:val="20"/>
          <w:highlight w:val="none"/>
        </w:rPr>
        <w:t xml:space="preserve">Performance requirements (RRM and/or demodulation) need to be introduced for the scenario with RTD </w:t>
      </w:r>
      <w:r>
        <w:rPr>
          <w:rFonts w:hint="eastAsia"/>
          <w:bCs/>
          <w:i/>
          <w:iCs/>
          <w:color w:val="auto"/>
          <w:sz w:val="20"/>
          <w:szCs w:val="20"/>
          <w:highlight w:val="none"/>
        </w:rPr>
        <w:t>≤</w:t>
      </w:r>
      <w:r>
        <w:rPr>
          <w:bCs/>
          <w:i/>
          <w:iCs/>
          <w:color w:val="auto"/>
          <w:sz w:val="20"/>
          <w:szCs w:val="20"/>
          <w:highlight w:val="none"/>
        </w:rPr>
        <w:t xml:space="preserve"> CP to guarantee proper performance on the SCell</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As agreed in last meeting, RTD ≤ CP is one of the feasibility condition of SSB-less SCell activation for Scenario 1 and performance requirements will be introduced under such condition. Based on our understanding, for different feasibility conditions, the RRM SCell activation delay requirements should be considered in different levels, since UE need different processing behavior. Under the discussion of Issue 1-3-1, we give our overall analysis considering all feasibility conditions.</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lang w:val="en-US" w:eastAsia="zh-CN"/>
        </w:rPr>
        <w:t>Observation</w:t>
      </w:r>
      <w:r>
        <w:rPr>
          <w:b/>
          <w:bCs/>
          <w:i/>
          <w:iCs/>
          <w:sz w:val="20"/>
          <w:szCs w:val="20"/>
        </w:rPr>
        <w:t xml:space="preserve"> 1: </w:t>
      </w:r>
      <w:r>
        <w:rPr>
          <w:rFonts w:hint="eastAsia"/>
          <w:b/>
          <w:bCs/>
          <w:i/>
          <w:iCs/>
          <w:sz w:val="20"/>
          <w:szCs w:val="20"/>
          <w:lang w:val="en-US" w:eastAsia="zh-CN"/>
        </w:rPr>
        <w:t>Requirements shall be considered separately for different level of  feasibility conditions.</w:t>
      </w:r>
    </w:p>
    <w:p>
      <w:pPr>
        <w:rPr>
          <w:b/>
          <w:i/>
          <w:iCs/>
          <w:color w:val="auto"/>
          <w:sz w:val="20"/>
          <w:szCs w:val="20"/>
          <w:highlight w:val="none"/>
          <w:u w:val="single"/>
          <w:lang w:eastAsia="zh-CN"/>
        </w:rPr>
      </w:pPr>
      <w:r>
        <w:rPr>
          <w:b/>
          <w:i/>
          <w:iCs/>
          <w:color w:val="auto"/>
          <w:sz w:val="20"/>
          <w:szCs w:val="20"/>
          <w:highlight w:val="none"/>
          <w:u w:val="single"/>
          <w:lang w:eastAsia="zh-CN"/>
        </w:rPr>
        <w:t>Issue 1-2-2: Power difference conditions for scenario 1</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S</w:t>
      </w:r>
      <w:r>
        <w:rPr>
          <w:sz w:val="20"/>
          <w:szCs w:val="20"/>
        </w:rPr>
        <w:t>ince UE support</w:t>
      </w:r>
      <w:r>
        <w:rPr>
          <w:rFonts w:hint="eastAsia"/>
          <w:sz w:val="20"/>
          <w:szCs w:val="20"/>
          <w:lang w:val="en-US" w:eastAsia="zh-CN"/>
        </w:rPr>
        <w:t>s</w:t>
      </w:r>
      <w:r>
        <w:rPr>
          <w:sz w:val="20"/>
          <w:szCs w:val="20"/>
        </w:rPr>
        <w:t xml:space="preserve"> inter-band CA, UE </w:t>
      </w:r>
      <w:r>
        <w:rPr>
          <w:rFonts w:hint="eastAsia"/>
          <w:sz w:val="20"/>
          <w:szCs w:val="20"/>
          <w:lang w:val="en-US" w:eastAsia="zh-CN"/>
        </w:rPr>
        <w:t xml:space="preserve">shall </w:t>
      </w:r>
      <w:r>
        <w:rPr>
          <w:sz w:val="20"/>
          <w:szCs w:val="20"/>
        </w:rPr>
        <w:t>have 2 Rx chai</w:t>
      </w:r>
      <w:r>
        <w:rPr>
          <w:rFonts w:hint="eastAsia"/>
          <w:sz w:val="20"/>
          <w:szCs w:val="20"/>
          <w:lang w:val="en-US" w:eastAsia="zh-CN"/>
        </w:rPr>
        <w:t xml:space="preserve">ns </w:t>
      </w:r>
      <w:r>
        <w:rPr>
          <w:sz w:val="20"/>
          <w:szCs w:val="20"/>
        </w:rPr>
        <w:t xml:space="preserve">(AGC modules) to process the DL from SSB-less SCell and other active serving cells. Thus, the scenario 1 is feasible </w:t>
      </w:r>
      <w:r>
        <w:rPr>
          <w:rFonts w:hint="eastAsia"/>
          <w:sz w:val="20"/>
          <w:szCs w:val="20"/>
          <w:lang w:val="en-US" w:eastAsia="zh-CN"/>
        </w:rPr>
        <w:t xml:space="preserve">when </w:t>
      </w:r>
      <w:r>
        <w:rPr>
          <w:sz w:val="20"/>
          <w:szCs w:val="20"/>
        </w:rPr>
        <w:t>receiving power difference larger than 6dB.</w:t>
      </w:r>
      <w:r>
        <w:rPr>
          <w:rFonts w:hint="eastAsia"/>
          <w:sz w:val="20"/>
          <w:szCs w:val="20"/>
          <w:lang w:val="en-US" w:eastAsia="zh-CN"/>
        </w:rPr>
        <w:t xml:space="preserve"> UE could finish the coarse and fine AGC adjustment through following two methods separately or together:</w:t>
      </w:r>
    </w:p>
    <w:p>
      <w:pPr>
        <w:numPr>
          <w:ilvl w:val="0"/>
          <w:numId w:val="5"/>
        </w:numPr>
        <w:overflowPunct w:val="0"/>
        <w:autoSpaceDE w:val="0"/>
        <w:autoSpaceDN w:val="0"/>
        <w:adjustRightInd w:val="0"/>
        <w:spacing w:after="120"/>
        <w:ind w:left="420" w:leftChars="0" w:hanging="420" w:firstLineChars="0"/>
        <w:jc w:val="both"/>
        <w:rPr>
          <w:rFonts w:hint="eastAsia"/>
          <w:sz w:val="20"/>
          <w:szCs w:val="20"/>
          <w:lang w:val="en-US" w:eastAsia="zh-CN"/>
        </w:rPr>
      </w:pPr>
      <w:r>
        <w:rPr>
          <w:rFonts w:hint="eastAsia"/>
          <w:sz w:val="20"/>
          <w:szCs w:val="20"/>
          <w:lang w:val="en-US" w:eastAsia="zh-CN"/>
        </w:rPr>
        <w:t>TRS-based AGC adjustment</w:t>
      </w:r>
    </w:p>
    <w:p>
      <w:pPr>
        <w:numPr>
          <w:ilvl w:val="0"/>
          <w:numId w:val="5"/>
        </w:numPr>
        <w:overflowPunct w:val="0"/>
        <w:autoSpaceDE w:val="0"/>
        <w:autoSpaceDN w:val="0"/>
        <w:adjustRightInd w:val="0"/>
        <w:spacing w:after="120"/>
        <w:ind w:left="420" w:leftChars="0" w:hanging="420" w:firstLineChars="0"/>
        <w:jc w:val="both"/>
        <w:rPr>
          <w:rFonts w:hint="default"/>
          <w:sz w:val="20"/>
          <w:szCs w:val="20"/>
          <w:lang w:val="en-US" w:eastAsia="zh-CN"/>
        </w:rPr>
      </w:pPr>
      <w:r>
        <w:rPr>
          <w:rFonts w:hint="eastAsia"/>
          <w:sz w:val="20"/>
          <w:szCs w:val="20"/>
          <w:lang w:val="en-US" w:eastAsia="zh-CN"/>
        </w:rPr>
        <w:t xml:space="preserve">NW indicate the transmit power difference between the reference cell and target cell to UE through current signalling </w:t>
      </w:r>
      <w:r>
        <w:rPr>
          <w:rFonts w:hint="default"/>
          <w:sz w:val="20"/>
          <w:szCs w:val="20"/>
          <w:lang w:val="en-US" w:eastAsia="zh-CN"/>
        </w:rPr>
        <w:t>“</w:t>
      </w:r>
      <w:r>
        <w:rPr>
          <w:rFonts w:hint="eastAsia"/>
          <w:sz w:val="20"/>
          <w:szCs w:val="20"/>
          <w:lang w:val="en-US" w:eastAsia="zh-CN"/>
        </w:rPr>
        <w:t>SS-PBCH-blockPower</w:t>
      </w:r>
      <w:r>
        <w:rPr>
          <w:rFonts w:hint="default"/>
          <w:sz w:val="20"/>
          <w:szCs w:val="20"/>
          <w:lang w:val="en-US" w:eastAsia="zh-CN"/>
        </w:rPr>
        <w:t>”</w:t>
      </w:r>
      <w:r>
        <w:rPr>
          <w:rFonts w:hint="eastAsia"/>
          <w:sz w:val="20"/>
          <w:szCs w:val="20"/>
          <w:lang w:val="en-US" w:eastAsia="zh-CN"/>
        </w:rPr>
        <w:t xml:space="preserve"> in ServingCellConfigCommon IE</w:t>
      </w:r>
    </w:p>
    <w:p>
      <w:pPr>
        <w:overflowPunct w:val="0"/>
        <w:autoSpaceDE w:val="0"/>
        <w:autoSpaceDN w:val="0"/>
        <w:adjustRightInd w:val="0"/>
        <w:spacing w:after="120"/>
        <w:rPr>
          <w:rFonts w:hint="default"/>
          <w:szCs w:val="24"/>
          <w:lang w:val="en-US" w:eastAsia="zh-CN"/>
        </w:rPr>
      </w:pPr>
      <w:r>
        <w:drawing>
          <wp:inline distT="0" distB="0" distL="114300" distR="114300">
            <wp:extent cx="5367020" cy="3500120"/>
            <wp:effectExtent l="0" t="0" r="5080" b="508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367020" cy="3500120"/>
                    </a:xfrm>
                    <a:prstGeom prst="rect">
                      <a:avLst/>
                    </a:prstGeom>
                    <a:noFill/>
                    <a:ln>
                      <a:noFill/>
                    </a:ln>
                  </pic:spPr>
                </pic:pic>
              </a:graphicData>
            </a:graphic>
          </wp:inline>
        </w:drawing>
      </w:r>
    </w:p>
    <w:p>
      <w:pPr>
        <w:overflowPunct w:val="0"/>
        <w:autoSpaceDE w:val="0"/>
        <w:autoSpaceDN w:val="0"/>
        <w:adjustRightInd w:val="0"/>
        <w:spacing w:after="120"/>
        <w:rPr>
          <w:b/>
          <w:bCs/>
          <w:i/>
          <w:iCs/>
          <w:sz w:val="20"/>
          <w:szCs w:val="20"/>
        </w:rPr>
      </w:pPr>
      <w:r>
        <w:rPr>
          <w:b/>
          <w:bCs/>
          <w:i/>
          <w:iCs/>
          <w:sz w:val="20"/>
          <w:szCs w:val="20"/>
        </w:rPr>
        <w:t xml:space="preserve">Proposal </w:t>
      </w:r>
      <w:r>
        <w:rPr>
          <w:rFonts w:hint="eastAsia"/>
          <w:b/>
          <w:bCs/>
          <w:i/>
          <w:iCs/>
          <w:sz w:val="20"/>
          <w:szCs w:val="20"/>
          <w:lang w:val="en-US" w:eastAsia="zh-CN"/>
        </w:rPr>
        <w:t>1</w:t>
      </w:r>
      <w:r>
        <w:rPr>
          <w:b/>
          <w:bCs/>
          <w:i/>
          <w:iCs/>
          <w:sz w:val="20"/>
          <w:szCs w:val="20"/>
        </w:rPr>
        <w:t xml:space="preserve">: Scenario 1 is feasible </w:t>
      </w:r>
      <w:r>
        <w:rPr>
          <w:rFonts w:hint="eastAsia"/>
          <w:b/>
          <w:bCs/>
          <w:i/>
          <w:iCs/>
          <w:sz w:val="20"/>
          <w:szCs w:val="20"/>
        </w:rPr>
        <w:t>when receiving power difference larger than 6dB.</w:t>
      </w:r>
    </w:p>
    <w:p>
      <w:pPr>
        <w:rPr>
          <w:b/>
          <w:i/>
          <w:iCs/>
          <w:color w:val="auto"/>
          <w:sz w:val="20"/>
          <w:szCs w:val="20"/>
          <w:highlight w:val="none"/>
          <w:u w:val="single"/>
          <w:lang w:eastAsia="ko-KR"/>
        </w:rPr>
      </w:pPr>
      <w:r>
        <w:rPr>
          <w:b/>
          <w:i/>
          <w:iCs/>
          <w:color w:val="auto"/>
          <w:sz w:val="20"/>
          <w:szCs w:val="20"/>
          <w:highlight w:val="none"/>
          <w:u w:val="single"/>
          <w:lang w:eastAsia="ko-KR"/>
        </w:rPr>
        <w:t>Issue 1-2-4: QCL/TCI indication for Scenario 1</w:t>
      </w:r>
    </w:p>
    <w:p>
      <w:pPr>
        <w:spacing w:after="120"/>
        <w:rPr>
          <w:i/>
          <w:iCs/>
          <w:sz w:val="20"/>
          <w:szCs w:val="20"/>
          <w:lang w:eastAsia="zh-CN"/>
        </w:rPr>
      </w:pPr>
      <w:r>
        <w:rPr>
          <w:i/>
          <w:iCs/>
          <w:sz w:val="20"/>
          <w:szCs w:val="20"/>
          <w:lang w:eastAsia="zh-CN"/>
        </w:rPr>
        <w:t>Proposals:</w:t>
      </w:r>
    </w:p>
    <w:p>
      <w:pPr>
        <w:pStyle w:val="74"/>
        <w:numPr>
          <w:ilvl w:val="1"/>
          <w:numId w:val="6"/>
        </w:numPr>
        <w:spacing w:after="120"/>
        <w:ind w:left="1376" w:firstLineChars="0"/>
        <w:rPr>
          <w:i/>
          <w:iCs/>
          <w:sz w:val="20"/>
          <w:szCs w:val="20"/>
          <w:lang w:eastAsia="zh-CN"/>
        </w:rPr>
      </w:pPr>
      <w:r>
        <w:rPr>
          <w:i/>
          <w:iCs/>
          <w:sz w:val="20"/>
          <w:szCs w:val="20"/>
          <w:lang w:eastAsia="zh-CN"/>
        </w:rPr>
        <w:t>Proposal 1: RS of SCell without SSB is QCL-A with TRS of the SCell without SSB, and the TRS(s) of the SCell is (are) further QCL-TypeC with SSB(s) of an inter-band active serving cell.  (QC, CATT, Apple, Nokia, Huawei, MTK, CTC, Samsung, Intel)</w:t>
      </w:r>
    </w:p>
    <w:p>
      <w:pPr>
        <w:pStyle w:val="74"/>
        <w:numPr>
          <w:ilvl w:val="1"/>
          <w:numId w:val="6"/>
        </w:numPr>
        <w:spacing w:after="120"/>
        <w:ind w:left="1376" w:firstLineChars="0"/>
        <w:rPr>
          <w:i/>
          <w:iCs/>
          <w:sz w:val="20"/>
          <w:szCs w:val="20"/>
          <w:lang w:eastAsia="zh-CN"/>
        </w:rPr>
      </w:pPr>
      <w:r>
        <w:rPr>
          <w:i/>
          <w:iCs/>
          <w:sz w:val="20"/>
          <w:szCs w:val="20"/>
          <w:lang w:eastAsia="zh-CN"/>
        </w:rPr>
        <w:t>Proposal 2: Without QCL configuration between the RSs from inter-band carriers (Nokia, CMCC)</w:t>
      </w:r>
    </w:p>
    <w:p>
      <w:pPr>
        <w:pStyle w:val="74"/>
        <w:numPr>
          <w:ilvl w:val="1"/>
          <w:numId w:val="6"/>
        </w:numPr>
        <w:spacing w:after="120"/>
        <w:ind w:left="1376" w:firstLineChars="0"/>
        <w:rPr>
          <w:i/>
          <w:iCs/>
          <w:sz w:val="20"/>
          <w:szCs w:val="20"/>
          <w:lang w:eastAsia="zh-CN"/>
        </w:rPr>
      </w:pPr>
      <w:r>
        <w:rPr>
          <w:i/>
          <w:iCs/>
          <w:sz w:val="20"/>
          <w:szCs w:val="20"/>
          <w:lang w:eastAsia="zh-CN"/>
        </w:rPr>
        <w:t>Proposal 2a: TCI state indication may not be needed to complete the SSB less SCell activation. (Ericsson)</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 xml:space="preserve">Recalling to the intra-frequency CA SSB-less SCell activation case, the activation delay requirement is 3ms, which only contains the MAC CE processing delay. The QCL-Type information is not used by UE. </w:t>
      </w:r>
    </w:p>
    <w:p>
      <w:pPr>
        <w:overflowPunct w:val="0"/>
        <w:autoSpaceDE w:val="0"/>
        <w:autoSpaceDN w:val="0"/>
        <w:adjustRightInd w:val="0"/>
        <w:spacing w:after="120"/>
        <w:jc w:val="both"/>
        <w:rPr>
          <w:rFonts w:hint="default"/>
          <w:sz w:val="20"/>
          <w:szCs w:val="20"/>
          <w:lang w:val="en-US" w:eastAsia="zh-CN"/>
        </w:rPr>
      </w:pPr>
      <w:r>
        <w:rPr>
          <w:rFonts w:hint="eastAsia"/>
          <w:sz w:val="20"/>
          <w:szCs w:val="20"/>
          <w:lang w:val="en-US" w:eastAsia="zh-CN"/>
        </w:rPr>
        <w:t>Similarly, in inter-frequency CA SSB-less SCell activation case, the QCL-Type information is not essential for UE. UE could acquire the time/frequency information by TRS tracking or mapping between reference cell frequency and SSB-less SCell frequency. Therefore, the QCL-Type configuration between RSs is not one of the feasibility condition for SSB-less SCell activation.</w:t>
      </w:r>
    </w:p>
    <w:p>
      <w:pPr>
        <w:overflowPunct w:val="0"/>
        <w:autoSpaceDE w:val="0"/>
        <w:autoSpaceDN w:val="0"/>
        <w:adjustRightInd w:val="0"/>
        <w:spacing w:after="120"/>
        <w:rPr>
          <w:rFonts w:hint="default" w:eastAsiaTheme="minor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w:t>
      </w:r>
      <w:r>
        <w:rPr>
          <w:rFonts w:hint="eastAsia"/>
          <w:b/>
          <w:bCs/>
          <w:i/>
          <w:iCs/>
          <w:sz w:val="20"/>
          <w:szCs w:val="20"/>
          <w:lang w:val="en-US" w:eastAsia="zh-CN"/>
        </w:rPr>
        <w:t>QCL-Type configuration between RSs is not a feasibility condition for SSB-less SCell activation.</w:t>
      </w:r>
    </w:p>
    <w:p>
      <w:pPr>
        <w:rPr>
          <w:b/>
          <w:i/>
          <w:iCs/>
          <w:color w:val="auto"/>
          <w:sz w:val="20"/>
          <w:szCs w:val="20"/>
          <w:highlight w:val="none"/>
          <w:u w:val="single"/>
          <w:lang w:eastAsia="ko-KR"/>
        </w:rPr>
      </w:pPr>
      <w:r>
        <w:rPr>
          <w:b/>
          <w:i/>
          <w:iCs/>
          <w:color w:val="auto"/>
          <w:sz w:val="20"/>
          <w:szCs w:val="20"/>
          <w:highlight w:val="none"/>
          <w:u w:val="single"/>
          <w:lang w:eastAsia="ko-KR"/>
        </w:rPr>
        <w:t>Issue 1-2-5: TRS related</w:t>
      </w:r>
    </w:p>
    <w:p>
      <w:pPr>
        <w:spacing w:after="120"/>
        <w:rPr>
          <w:i/>
          <w:iCs/>
          <w:sz w:val="20"/>
          <w:szCs w:val="20"/>
          <w:lang w:eastAsia="zh-CN"/>
        </w:rPr>
      </w:pPr>
      <w:r>
        <w:rPr>
          <w:i/>
          <w:iCs/>
          <w:sz w:val="20"/>
          <w:szCs w:val="20"/>
          <w:lang w:eastAsia="zh-CN"/>
        </w:rPr>
        <w:t>Proposal:</w:t>
      </w:r>
    </w:p>
    <w:p>
      <w:pPr>
        <w:numPr>
          <w:ilvl w:val="0"/>
          <w:numId w:val="6"/>
        </w:numPr>
        <w:spacing w:after="120"/>
        <w:ind w:left="720"/>
        <w:rPr>
          <w:i/>
          <w:iCs/>
          <w:sz w:val="20"/>
          <w:szCs w:val="20"/>
          <w:lang w:eastAsia="zh-CN"/>
        </w:rPr>
      </w:pPr>
      <w:r>
        <w:rPr>
          <w:i/>
          <w:iCs/>
          <w:sz w:val="20"/>
          <w:szCs w:val="20"/>
          <w:lang w:eastAsia="zh-CN"/>
        </w:rPr>
        <w:t>Periodic TRS/A-TRS</w:t>
      </w:r>
    </w:p>
    <w:p>
      <w:pPr>
        <w:numPr>
          <w:ilvl w:val="1"/>
          <w:numId w:val="6"/>
        </w:numPr>
        <w:spacing w:after="120"/>
        <w:ind w:left="1440"/>
        <w:rPr>
          <w:i/>
          <w:iCs/>
          <w:sz w:val="20"/>
          <w:szCs w:val="20"/>
          <w:lang w:eastAsia="zh-CN"/>
        </w:rPr>
      </w:pPr>
      <w:r>
        <w:rPr>
          <w:i/>
          <w:iCs/>
          <w:sz w:val="20"/>
          <w:szCs w:val="20"/>
          <w:lang w:eastAsia="zh-CN"/>
        </w:rPr>
        <w:t>Proposal 1a: Periodic TRS is available for fine time/freq tracking purpose. (QC, Huawei, Apple)</w:t>
      </w:r>
    </w:p>
    <w:p>
      <w:pPr>
        <w:numPr>
          <w:ilvl w:val="1"/>
          <w:numId w:val="6"/>
        </w:numPr>
        <w:spacing w:after="120"/>
        <w:ind w:left="1440"/>
        <w:rPr>
          <w:i/>
          <w:iCs/>
          <w:sz w:val="20"/>
          <w:szCs w:val="20"/>
          <w:lang w:eastAsia="zh-CN"/>
        </w:rPr>
      </w:pPr>
      <w:r>
        <w:rPr>
          <w:i/>
          <w:iCs/>
          <w:sz w:val="20"/>
          <w:szCs w:val="20"/>
          <w:lang w:eastAsia="zh-CN"/>
        </w:rPr>
        <w:t xml:space="preserve">Proposal 1b: A-TRS can be consider for SSB-less SCell activation (Apple, Huawei, Vivo) </w:t>
      </w:r>
    </w:p>
    <w:p>
      <w:pPr>
        <w:numPr>
          <w:ilvl w:val="1"/>
          <w:numId w:val="6"/>
        </w:numPr>
        <w:spacing w:after="120"/>
        <w:ind w:left="1440"/>
        <w:rPr>
          <w:i/>
          <w:iCs/>
          <w:sz w:val="20"/>
          <w:szCs w:val="20"/>
          <w:lang w:eastAsia="zh-CN"/>
        </w:rPr>
      </w:pPr>
      <w:r>
        <w:rPr>
          <w:i/>
          <w:iCs/>
          <w:sz w:val="20"/>
          <w:szCs w:val="20"/>
          <w:lang w:eastAsia="zh-CN"/>
        </w:rPr>
        <w:t>Proposal 1c: RAN4 to clarify what type of TRS is intended for SSB-less SCell operation in Scenario 1. (Nokia)</w:t>
      </w:r>
    </w:p>
    <w:p>
      <w:pPr>
        <w:numPr>
          <w:ilvl w:val="0"/>
          <w:numId w:val="6"/>
        </w:numPr>
        <w:spacing w:after="120"/>
        <w:ind w:left="720"/>
        <w:rPr>
          <w:i/>
          <w:iCs/>
          <w:sz w:val="20"/>
          <w:szCs w:val="20"/>
          <w:lang w:eastAsia="zh-CN"/>
        </w:rPr>
      </w:pPr>
      <w:r>
        <w:rPr>
          <w:i/>
          <w:iCs/>
          <w:sz w:val="20"/>
          <w:szCs w:val="20"/>
          <w:lang w:eastAsia="zh-CN"/>
        </w:rPr>
        <w:t>Whether TRS is needed for SSB-less SCell activation:</w:t>
      </w:r>
    </w:p>
    <w:p>
      <w:pPr>
        <w:numPr>
          <w:ilvl w:val="1"/>
          <w:numId w:val="6"/>
        </w:numPr>
        <w:overflowPunct w:val="0"/>
        <w:autoSpaceDE w:val="0"/>
        <w:autoSpaceDN w:val="0"/>
        <w:adjustRightInd w:val="0"/>
        <w:textAlignment w:val="baseline"/>
        <w:rPr>
          <w:i/>
          <w:iCs/>
          <w:sz w:val="20"/>
          <w:szCs w:val="20"/>
          <w:lang w:eastAsia="zh-CN"/>
        </w:rPr>
      </w:pPr>
      <w:r>
        <w:rPr>
          <w:i/>
          <w:iCs/>
          <w:sz w:val="20"/>
          <w:szCs w:val="20"/>
          <w:lang w:eastAsia="zh-CN"/>
        </w:rPr>
        <w:t>Proposal 1: TRS monitoring is not needed for SSB-less SCell activation (i.e. 3ms SCell activation delay is achieved). (Nokia)</w:t>
      </w:r>
    </w:p>
    <w:p>
      <w:pPr>
        <w:numPr>
          <w:ilvl w:val="2"/>
          <w:numId w:val="6"/>
        </w:numPr>
        <w:overflowPunct w:val="0"/>
        <w:autoSpaceDE w:val="0"/>
        <w:autoSpaceDN w:val="0"/>
        <w:adjustRightInd w:val="0"/>
        <w:textAlignment w:val="baseline"/>
        <w:rPr>
          <w:i/>
          <w:iCs/>
          <w:sz w:val="20"/>
          <w:szCs w:val="20"/>
          <w:lang w:eastAsia="zh-CN"/>
        </w:rPr>
      </w:pPr>
      <w:r>
        <w:rPr>
          <w:i/>
          <w:iCs/>
          <w:sz w:val="20"/>
          <w:szCs w:val="20"/>
          <w:lang w:eastAsia="zh-CN"/>
        </w:rPr>
        <w:t>Proposal 1a: RAN4 to study whether transmitting no TRS would work or not (Ericsson)</w:t>
      </w:r>
    </w:p>
    <w:p>
      <w:pPr>
        <w:numPr>
          <w:ilvl w:val="1"/>
          <w:numId w:val="6"/>
        </w:numPr>
        <w:overflowPunct w:val="0"/>
        <w:autoSpaceDE w:val="0"/>
        <w:autoSpaceDN w:val="0"/>
        <w:adjustRightInd w:val="0"/>
        <w:textAlignment w:val="baseline"/>
        <w:rPr>
          <w:i/>
          <w:iCs/>
          <w:sz w:val="20"/>
          <w:szCs w:val="20"/>
          <w:lang w:eastAsia="zh-CN"/>
        </w:rPr>
      </w:pPr>
      <w:r>
        <w:rPr>
          <w:i/>
          <w:iCs/>
          <w:sz w:val="20"/>
          <w:szCs w:val="20"/>
          <w:lang w:eastAsia="zh-CN"/>
        </w:rPr>
        <w:t>Proposal 2: TRS monitoring is needed for SSB-less SCell activation (wherein &gt;3ms SCell activation delay is expected). (Nokia)</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From UE perspective, TRS monitoring is not needed when RTD and RPD condition is very well, for example, RTD&lt;260ns and RPD&lt;6dB. Otherwise, TRS monitoring is needed for time/frequency sync and AGC adjustment.</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From network perspective, TRS is needed to be transmitted as defined in TS 38.214, both periodic TRS and A-TRS can support SCell activation purpose.</w:t>
      </w:r>
    </w:p>
    <w:p>
      <w:pPr>
        <w:overflowPunct w:val="0"/>
        <w:autoSpaceDE w:val="0"/>
        <w:autoSpaceDN w:val="0"/>
        <w:adjustRightInd w:val="0"/>
        <w:spacing w:after="120"/>
        <w:jc w:val="both"/>
        <w:rPr>
          <w:rFonts w:hint="eastAsia"/>
          <w:b/>
          <w:bCs/>
          <w:i/>
          <w:iCs/>
          <w:sz w:val="20"/>
          <w:szCs w:val="20"/>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w:t>
      </w:r>
      <w:r>
        <w:rPr>
          <w:rFonts w:hint="eastAsia"/>
          <w:b/>
          <w:bCs/>
          <w:i/>
          <w:iCs/>
          <w:sz w:val="20"/>
          <w:szCs w:val="20"/>
        </w:rPr>
        <w:t>From network perspective, TRS is needed to be transmitted, both periodic TRS and A-TRS can support SCell activation purpose.</w:t>
      </w:r>
    </w:p>
    <w:p>
      <w:pPr>
        <w:overflowPunct w:val="0"/>
        <w:autoSpaceDE w:val="0"/>
        <w:autoSpaceDN w:val="0"/>
        <w:adjustRightInd w:val="0"/>
        <w:spacing w:after="120"/>
        <w:jc w:val="both"/>
        <w:rPr>
          <w:rFonts w:hint="default"/>
          <w:sz w:val="20"/>
          <w:szCs w:val="20"/>
          <w:lang w:val="en-US" w:eastAsia="zh-CN"/>
        </w:rPr>
      </w:pPr>
      <w:r>
        <w:rPr>
          <w:rFonts w:hint="eastAsia"/>
          <w:b/>
          <w:bCs/>
          <w:i/>
          <w:iCs/>
          <w:sz w:val="20"/>
          <w:szCs w:val="20"/>
          <w:lang w:val="en-US" w:eastAsia="zh-CN"/>
        </w:rPr>
        <w:t>Proposal 4: From UE perspective, whether TRS monitoring is needed or not depends on RTD and RPD conditions.</w:t>
      </w:r>
    </w:p>
    <w:p>
      <w:pPr>
        <w:rPr>
          <w:b/>
          <w:i/>
          <w:iCs/>
          <w:color w:val="auto"/>
          <w:sz w:val="20"/>
          <w:szCs w:val="20"/>
          <w:highlight w:val="none"/>
          <w:u w:val="single"/>
          <w:lang w:eastAsia="ko-KR"/>
        </w:rPr>
      </w:pPr>
      <w:r>
        <w:rPr>
          <w:b/>
          <w:i/>
          <w:iCs/>
          <w:color w:val="auto"/>
          <w:sz w:val="20"/>
          <w:szCs w:val="20"/>
          <w:highlight w:val="none"/>
          <w:u w:val="single"/>
          <w:lang w:eastAsia="ko-KR"/>
        </w:rPr>
        <w:t>Issue 1-3-1: SCell activation requirements</w:t>
      </w:r>
    </w:p>
    <w:p>
      <w:pPr>
        <w:overflowPunct w:val="0"/>
        <w:autoSpaceDE w:val="0"/>
        <w:autoSpaceDN w:val="0"/>
        <w:adjustRightInd w:val="0"/>
        <w:spacing w:after="120"/>
        <w:jc w:val="both"/>
        <w:rPr>
          <w:sz w:val="20"/>
          <w:szCs w:val="20"/>
        </w:rPr>
      </w:pPr>
      <w:r>
        <w:rPr>
          <w:rFonts w:hint="eastAsia"/>
          <w:sz w:val="20"/>
          <w:szCs w:val="20"/>
          <w:lang w:val="en-US" w:eastAsia="zh-CN"/>
        </w:rPr>
        <w:t>D</w:t>
      </w:r>
      <w:r>
        <w:rPr>
          <w:sz w:val="20"/>
          <w:szCs w:val="20"/>
        </w:rPr>
        <w:t>ifferent side conditions correspond to different UE behavior</w:t>
      </w:r>
      <w:r>
        <w:rPr>
          <w:rFonts w:hint="eastAsia"/>
          <w:sz w:val="20"/>
          <w:szCs w:val="20"/>
          <w:lang w:val="en-US" w:eastAsia="zh-CN"/>
        </w:rPr>
        <w:t xml:space="preserve"> during SCell activation</w:t>
      </w:r>
      <w:r>
        <w:rPr>
          <w:sz w:val="20"/>
          <w:szCs w:val="20"/>
        </w:rPr>
        <w:t xml:space="preserve">, </w:t>
      </w:r>
      <w:r>
        <w:rPr>
          <w:rFonts w:hint="eastAsia"/>
          <w:sz w:val="20"/>
          <w:szCs w:val="20"/>
          <w:lang w:val="en-US" w:eastAsia="zh-CN"/>
        </w:rPr>
        <w:t>moreover,</w:t>
      </w:r>
      <w:r>
        <w:rPr>
          <w:rFonts w:eastAsia="宋体"/>
          <w:bCs/>
          <w:sz w:val="20"/>
          <w:szCs w:val="20"/>
          <w:lang w:val="en-GB" w:eastAsia="en-US"/>
        </w:rPr>
        <w:t xml:space="preserve"> </w:t>
      </w:r>
      <w:r>
        <w:rPr>
          <w:rFonts w:hint="eastAsia" w:eastAsia="宋体"/>
          <w:bCs/>
          <w:sz w:val="20"/>
          <w:szCs w:val="20"/>
          <w:lang w:val="en-US" w:eastAsia="zh-CN"/>
        </w:rPr>
        <w:t>different</w:t>
      </w:r>
      <w:r>
        <w:rPr>
          <w:sz w:val="20"/>
          <w:szCs w:val="20"/>
        </w:rPr>
        <w:t xml:space="preserve"> SCell activation delay requirement, which are packaged. Generally, we think there are three cases under scenario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1872"/>
        <w:gridCol w:w="3513"/>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gridSpan w:val="4"/>
            <w:vAlign w:val="center"/>
          </w:tcPr>
          <w:p>
            <w:pPr>
              <w:overflowPunct w:val="0"/>
              <w:autoSpaceDE w:val="0"/>
              <w:autoSpaceDN w:val="0"/>
              <w:adjustRightInd w:val="0"/>
              <w:spacing w:after="120"/>
              <w:jc w:val="center"/>
              <w:rPr>
                <w:sz w:val="20"/>
                <w:szCs w:val="20"/>
                <w:vertAlign w:val="baseline"/>
              </w:rPr>
            </w:pPr>
            <w:r>
              <w:rPr>
                <w:rFonts w:hint="eastAsia"/>
                <w:b/>
                <w:bCs/>
                <w:sz w:val="20"/>
                <w:szCs w:val="20"/>
              </w:rPr>
              <w:t>S</w:t>
            </w:r>
            <w:r>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gridSpan w:val="2"/>
            <w:vAlign w:val="center"/>
          </w:tcPr>
          <w:p>
            <w:pPr>
              <w:overflowPunct w:val="0"/>
              <w:autoSpaceDE w:val="0"/>
              <w:autoSpaceDN w:val="0"/>
              <w:adjustRightInd w:val="0"/>
              <w:spacing w:after="120"/>
              <w:jc w:val="center"/>
              <w:rPr>
                <w:sz w:val="20"/>
                <w:szCs w:val="20"/>
                <w:vertAlign w:val="baseline"/>
              </w:rPr>
            </w:pPr>
            <w:r>
              <w:rPr>
                <w:rFonts w:hint="eastAsia"/>
                <w:sz w:val="20"/>
                <w:szCs w:val="20"/>
              </w:rPr>
              <w:t>S</w:t>
            </w:r>
            <w:r>
              <w:rPr>
                <w:sz w:val="20"/>
                <w:szCs w:val="20"/>
              </w:rPr>
              <w:t>ide conditions</w:t>
            </w:r>
          </w:p>
        </w:tc>
        <w:tc>
          <w:tcPr>
            <w:tcW w:w="3513" w:type="dxa"/>
            <w:vAlign w:val="center"/>
          </w:tcPr>
          <w:p>
            <w:pPr>
              <w:overflowPunct w:val="0"/>
              <w:autoSpaceDE w:val="0"/>
              <w:autoSpaceDN w:val="0"/>
              <w:adjustRightInd w:val="0"/>
              <w:spacing w:after="120"/>
              <w:jc w:val="center"/>
              <w:rPr>
                <w:sz w:val="20"/>
                <w:szCs w:val="20"/>
                <w:vertAlign w:val="baseline"/>
              </w:rPr>
            </w:pPr>
            <w:r>
              <w:rPr>
                <w:rFonts w:hint="eastAsia"/>
                <w:sz w:val="20"/>
                <w:szCs w:val="20"/>
              </w:rPr>
              <w:t>U</w:t>
            </w:r>
            <w:r>
              <w:rPr>
                <w:sz w:val="20"/>
                <w:szCs w:val="20"/>
              </w:rPr>
              <w:t>E sync behavior</w:t>
            </w:r>
          </w:p>
        </w:tc>
        <w:tc>
          <w:tcPr>
            <w:tcW w:w="2333" w:type="dxa"/>
            <w:vAlign w:val="center"/>
          </w:tcPr>
          <w:p>
            <w:pPr>
              <w:overflowPunct w:val="0"/>
              <w:autoSpaceDE w:val="0"/>
              <w:autoSpaceDN w:val="0"/>
              <w:adjustRightInd w:val="0"/>
              <w:spacing w:after="120"/>
              <w:jc w:val="center"/>
              <w:rPr>
                <w:sz w:val="20"/>
                <w:szCs w:val="20"/>
                <w:vertAlign w:val="baseline"/>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3" w:type="dxa"/>
            <w:vAlign w:val="center"/>
          </w:tcPr>
          <w:p>
            <w:pPr>
              <w:overflowPunct w:val="0"/>
              <w:autoSpaceDE w:val="0"/>
              <w:autoSpaceDN w:val="0"/>
              <w:adjustRightInd w:val="0"/>
              <w:spacing w:after="120"/>
              <w:jc w:val="center"/>
              <w:rPr>
                <w:rFonts w:ascii="Times New Roman" w:hAnsi="Times New Roman" w:cs="Times New Roman" w:eastAsiaTheme="minorEastAsia"/>
                <w:sz w:val="20"/>
                <w:szCs w:val="20"/>
                <w:lang w:val="en-US" w:eastAsia="zh-CN" w:bidi="ar-SA"/>
              </w:rPr>
            </w:pPr>
            <w:r>
              <w:rPr>
                <w:rFonts w:hint="eastAsia"/>
                <w:sz w:val="20"/>
                <w:szCs w:val="20"/>
              </w:rPr>
              <w:t>R</w:t>
            </w:r>
            <w:r>
              <w:rPr>
                <w:sz w:val="20"/>
                <w:szCs w:val="20"/>
              </w:rPr>
              <w:t>TD</w:t>
            </w:r>
          </w:p>
        </w:tc>
        <w:tc>
          <w:tcPr>
            <w:tcW w:w="1872" w:type="dxa"/>
            <w:vAlign w:val="center"/>
          </w:tcPr>
          <w:p>
            <w:pPr>
              <w:overflowPunct w:val="0"/>
              <w:autoSpaceDE w:val="0"/>
              <w:autoSpaceDN w:val="0"/>
              <w:adjustRightInd w:val="0"/>
              <w:spacing w:after="120"/>
              <w:jc w:val="center"/>
              <w:rPr>
                <w:rFonts w:hint="default" w:ascii="Times New Roman" w:hAnsi="Times New Roman" w:cs="Times New Roman" w:eastAsiaTheme="minorEastAsia"/>
                <w:sz w:val="20"/>
                <w:szCs w:val="20"/>
                <w:lang w:val="en-US" w:eastAsia="zh-CN" w:bidi="ar-SA"/>
              </w:rPr>
            </w:pPr>
            <w:r>
              <w:rPr>
                <w:bCs/>
                <w:i/>
                <w:iCs/>
                <w:color w:val="auto"/>
                <w:sz w:val="20"/>
                <w:szCs w:val="20"/>
                <w:highlight w:val="none"/>
              </w:rPr>
              <w:t>≤</w:t>
            </w:r>
            <w:r>
              <w:rPr>
                <w:rFonts w:hint="eastAsia"/>
                <w:bCs/>
                <w:i/>
                <w:iCs/>
                <w:color w:val="auto"/>
                <w:sz w:val="20"/>
                <w:szCs w:val="20"/>
                <w:highlight w:val="none"/>
                <w:lang w:val="en-US" w:eastAsia="zh-CN"/>
              </w:rPr>
              <w:t xml:space="preserve"> </w:t>
            </w:r>
            <w:r>
              <w:rPr>
                <w:rFonts w:hint="eastAsia"/>
                <w:sz w:val="20"/>
                <w:szCs w:val="20"/>
                <w:lang w:val="en-US" w:eastAsia="zh-CN"/>
              </w:rPr>
              <w:t>260ns</w:t>
            </w:r>
          </w:p>
        </w:tc>
        <w:tc>
          <w:tcPr>
            <w:tcW w:w="3513" w:type="dxa"/>
            <w:vAlign w:val="center"/>
          </w:tcPr>
          <w:p>
            <w:pPr>
              <w:overflowPunct w:val="0"/>
              <w:autoSpaceDE w:val="0"/>
              <w:autoSpaceDN w:val="0"/>
              <w:adjustRightInd w:val="0"/>
              <w:spacing w:after="120"/>
              <w:jc w:val="center"/>
              <w:rPr>
                <w:rFonts w:ascii="Times New Roman" w:hAnsi="Times New Roman" w:cs="Times New Roman" w:eastAsiaTheme="minorEastAsia"/>
                <w:sz w:val="20"/>
                <w:szCs w:val="20"/>
                <w:lang w:val="en-US" w:eastAsia="zh-CN" w:bidi="ar-SA"/>
              </w:rPr>
            </w:pPr>
            <w:r>
              <w:rPr>
                <w:sz w:val="20"/>
                <w:szCs w:val="20"/>
              </w:rPr>
              <w:t>Borrow the timing from the inter-band active serving cell directly for sync and DL demodulation, UL transmission</w:t>
            </w:r>
          </w:p>
        </w:tc>
        <w:tc>
          <w:tcPr>
            <w:tcW w:w="2333" w:type="dxa"/>
            <w:vMerge w:val="restart"/>
            <w:vAlign w:val="center"/>
          </w:tcPr>
          <w:p>
            <w:pPr>
              <w:overflowPunct w:val="0"/>
              <w:autoSpaceDE w:val="0"/>
              <w:autoSpaceDN w:val="0"/>
              <w:adjustRightInd w:val="0"/>
              <w:spacing w:after="120"/>
              <w:jc w:val="center"/>
              <w:rPr>
                <w:sz w:val="20"/>
                <w:szCs w:val="20"/>
                <w:vertAlign w:val="baseline"/>
              </w:rPr>
            </w:pPr>
            <w:r>
              <w:rPr>
                <w:sz w:val="20"/>
                <w:szCs w:val="20"/>
              </w:rPr>
              <w:t>T</w:t>
            </w:r>
            <w:r>
              <w:rPr>
                <w:sz w:val="20"/>
                <w:szCs w:val="20"/>
                <w:vertAlign w:val="subscript"/>
              </w:rPr>
              <w:t>activation_time</w:t>
            </w:r>
            <w:r>
              <w:rPr>
                <w:sz w:val="20"/>
                <w:szCs w:val="20"/>
              </w:rPr>
              <w:t>=3ms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3" w:type="dxa"/>
            <w:vAlign w:val="center"/>
          </w:tcPr>
          <w:p>
            <w:pPr>
              <w:overflowPunct w:val="0"/>
              <w:autoSpaceDE w:val="0"/>
              <w:autoSpaceDN w:val="0"/>
              <w:adjustRightInd w:val="0"/>
              <w:spacing w:after="120"/>
              <w:jc w:val="center"/>
              <w:rPr>
                <w:rFonts w:ascii="Times New Roman" w:hAnsi="Times New Roman" w:cs="Times New Roman" w:eastAsiaTheme="minorEastAsia"/>
                <w:sz w:val="20"/>
                <w:szCs w:val="20"/>
                <w:lang w:val="en-US" w:eastAsia="zh-CN" w:bidi="ar-SA"/>
              </w:rPr>
            </w:pPr>
            <w:r>
              <w:rPr>
                <w:sz w:val="20"/>
                <w:szCs w:val="20"/>
              </w:rPr>
              <w:t>Reception power difference</w:t>
            </w:r>
          </w:p>
        </w:tc>
        <w:tc>
          <w:tcPr>
            <w:tcW w:w="1872" w:type="dxa"/>
            <w:vAlign w:val="center"/>
          </w:tcPr>
          <w:p>
            <w:pPr>
              <w:overflowPunct w:val="0"/>
              <w:autoSpaceDE w:val="0"/>
              <w:autoSpaceDN w:val="0"/>
              <w:adjustRightInd w:val="0"/>
              <w:spacing w:after="120"/>
              <w:jc w:val="center"/>
              <w:rPr>
                <w:rFonts w:ascii="Times New Roman" w:hAnsi="Times New Roman" w:cs="Times New Roman" w:eastAsiaTheme="minorEastAsia"/>
                <w:sz w:val="20"/>
                <w:szCs w:val="20"/>
                <w:lang w:val="en-US" w:eastAsia="zh-CN" w:bidi="ar-SA"/>
              </w:rPr>
            </w:pPr>
            <w:r>
              <w:rPr>
                <w:rFonts w:hint="eastAsia"/>
                <w:sz w:val="20"/>
                <w:szCs w:val="20"/>
                <w:lang w:val="en-US" w:eastAsia="zh-CN"/>
              </w:rPr>
              <w:t xml:space="preserve">Within </w:t>
            </w:r>
            <w:r>
              <w:rPr>
                <w:rFonts w:hint="eastAsia"/>
                <w:sz w:val="20"/>
                <w:szCs w:val="20"/>
              </w:rPr>
              <w:t>6</w:t>
            </w:r>
            <w:r>
              <w:rPr>
                <w:sz w:val="20"/>
                <w:szCs w:val="20"/>
              </w:rPr>
              <w:t>dB</w:t>
            </w:r>
          </w:p>
        </w:tc>
        <w:tc>
          <w:tcPr>
            <w:tcW w:w="3513" w:type="dxa"/>
            <w:vAlign w:val="center"/>
          </w:tcPr>
          <w:p>
            <w:pPr>
              <w:overflowPunct w:val="0"/>
              <w:autoSpaceDE w:val="0"/>
              <w:autoSpaceDN w:val="0"/>
              <w:adjustRightInd w:val="0"/>
              <w:spacing w:after="120"/>
              <w:jc w:val="center"/>
              <w:rPr>
                <w:rFonts w:ascii="Times New Roman" w:hAnsi="Times New Roman" w:cs="Times New Roman" w:eastAsiaTheme="minorEastAsia"/>
                <w:sz w:val="20"/>
                <w:szCs w:val="20"/>
                <w:lang w:val="en-US" w:eastAsia="zh-CN" w:bidi="ar-SA"/>
              </w:rPr>
            </w:pPr>
            <w:r>
              <w:rPr>
                <w:rFonts w:hint="eastAsia"/>
                <w:sz w:val="20"/>
                <w:szCs w:val="20"/>
              </w:rPr>
              <w:t>U</w:t>
            </w:r>
            <w:r>
              <w:rPr>
                <w:sz w:val="20"/>
                <w:szCs w:val="20"/>
              </w:rPr>
              <w:t>se the same AGC module and AGC gain as the inter-band active serving cell</w:t>
            </w:r>
          </w:p>
        </w:tc>
        <w:tc>
          <w:tcPr>
            <w:tcW w:w="2333" w:type="dxa"/>
            <w:vMerge w:val="continue"/>
            <w:vAlign w:val="center"/>
          </w:tcPr>
          <w:p>
            <w:pPr>
              <w:overflowPunct w:val="0"/>
              <w:autoSpaceDE w:val="0"/>
              <w:autoSpaceDN w:val="0"/>
              <w:adjustRightInd w:val="0"/>
              <w:spacing w:after="120"/>
              <w:jc w:val="center"/>
              <w:rPr>
                <w:sz w:val="20"/>
                <w:szCs w:val="20"/>
                <w:vertAlign w:val="baseline"/>
              </w:rPr>
            </w:pPr>
          </w:p>
        </w:tc>
      </w:tr>
    </w:tbl>
    <w:p>
      <w:pPr>
        <w:overflowPunct w:val="0"/>
        <w:autoSpaceDE w:val="0"/>
        <w:autoSpaceDN w:val="0"/>
        <w:adjustRightInd w:val="0"/>
        <w:spacing w:after="120"/>
        <w:rPr>
          <w:sz w:val="20"/>
          <w:szCs w:val="20"/>
        </w:rPr>
      </w:pPr>
    </w:p>
    <w:tbl>
      <w:tblPr>
        <w:tblStyle w:val="20"/>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883"/>
        <w:gridCol w:w="3495"/>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1" w:type="dxa"/>
            <w:gridSpan w:val="4"/>
            <w:vAlign w:val="center"/>
          </w:tcPr>
          <w:p>
            <w:pPr>
              <w:overflowPunct w:val="0"/>
              <w:autoSpaceDE w:val="0"/>
              <w:autoSpaceDN w:val="0"/>
              <w:adjustRightInd w:val="0"/>
              <w:spacing w:after="120"/>
              <w:jc w:val="center"/>
              <w:rPr>
                <w:sz w:val="20"/>
                <w:szCs w:val="20"/>
              </w:rPr>
            </w:pPr>
            <w:r>
              <w:rPr>
                <w:rFonts w:hint="eastAsia"/>
                <w:b/>
                <w:bCs/>
                <w:sz w:val="20"/>
                <w:szCs w:val="20"/>
              </w:rPr>
              <w:t>S</w:t>
            </w:r>
            <w:r>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07" w:type="dxa"/>
            <w:gridSpan w:val="2"/>
            <w:vAlign w:val="center"/>
          </w:tcPr>
          <w:p>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3495"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2339" w:type="dxa"/>
            <w:vAlign w:val="center"/>
          </w:tcPr>
          <w:p>
            <w:pPr>
              <w:overflowPunct w:val="0"/>
              <w:autoSpaceDE w:val="0"/>
              <w:autoSpaceDN w:val="0"/>
              <w:adjustRightInd w:val="0"/>
              <w:spacing w:after="120"/>
              <w:jc w:val="center"/>
              <w:rPr>
                <w:sz w:val="20"/>
                <w:szCs w:val="20"/>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Align w:val="center"/>
          </w:tcPr>
          <w:p>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883" w:type="dxa"/>
            <w:vAlign w:val="center"/>
          </w:tcPr>
          <w:p>
            <w:pPr>
              <w:overflowPunct w:val="0"/>
              <w:autoSpaceDE w:val="0"/>
              <w:autoSpaceDN w:val="0"/>
              <w:adjustRightInd w:val="0"/>
              <w:spacing w:after="120"/>
              <w:jc w:val="center"/>
              <w:rPr>
                <w:sz w:val="20"/>
                <w:szCs w:val="20"/>
              </w:rPr>
            </w:pPr>
            <w:r>
              <w:rPr>
                <w:rFonts w:hint="eastAsia"/>
                <w:sz w:val="20"/>
                <w:szCs w:val="20"/>
              </w:rPr>
              <w:t>260ns &lt; RTD &lt; CP</w:t>
            </w:r>
          </w:p>
        </w:tc>
        <w:tc>
          <w:tcPr>
            <w:tcW w:w="3495" w:type="dxa"/>
            <w:vAlign w:val="center"/>
          </w:tcPr>
          <w:p>
            <w:pPr>
              <w:overflowPunct w:val="0"/>
              <w:autoSpaceDE w:val="0"/>
              <w:autoSpaceDN w:val="0"/>
              <w:adjustRightInd w:val="0"/>
              <w:spacing w:after="120"/>
              <w:jc w:val="center"/>
              <w:rPr>
                <w:rFonts w:hint="default" w:eastAsiaTheme="minorEastAsia"/>
                <w:sz w:val="20"/>
                <w:szCs w:val="20"/>
                <w:lang w:val="en-US" w:eastAsia="zh-CN"/>
              </w:rPr>
            </w:pPr>
            <w:r>
              <w:rPr>
                <w:sz w:val="20"/>
                <w:szCs w:val="20"/>
              </w:rPr>
              <w:t>Borrow the timing from the inter-band active serving cell for</w:t>
            </w:r>
            <w:r>
              <w:rPr>
                <w:rFonts w:hint="eastAsia"/>
                <w:sz w:val="20"/>
                <w:szCs w:val="20"/>
                <w:lang w:val="en-US" w:eastAsia="zh-CN"/>
              </w:rPr>
              <w:t xml:space="preserve"> coarse</w:t>
            </w:r>
            <w:r>
              <w:rPr>
                <w:sz w:val="20"/>
                <w:szCs w:val="20"/>
              </w:rPr>
              <w:t xml:space="preserve"> sync,</w:t>
            </w:r>
            <w:r>
              <w:rPr>
                <w:rFonts w:hint="eastAsia"/>
                <w:sz w:val="20"/>
                <w:szCs w:val="20"/>
                <w:lang w:val="en-US" w:eastAsia="zh-CN"/>
              </w:rPr>
              <w:t xml:space="preserve"> and use TRS for fine sync</w:t>
            </w:r>
          </w:p>
        </w:tc>
        <w:tc>
          <w:tcPr>
            <w:tcW w:w="2339" w:type="dxa"/>
            <w:vMerge w:val="restart"/>
            <w:vAlign w:val="center"/>
          </w:tcPr>
          <w:p>
            <w:pPr>
              <w:overflowPunct w:val="0"/>
              <w:autoSpaceDE w:val="0"/>
              <w:autoSpaceDN w:val="0"/>
              <w:adjustRightInd w:val="0"/>
              <w:spacing w:after="120"/>
              <w:jc w:val="center"/>
              <w:rPr>
                <w:sz w:val="20"/>
                <w:szCs w:val="20"/>
              </w:rPr>
            </w:pPr>
            <w:r>
              <w:rPr>
                <w:sz w:val="20"/>
                <w:szCs w:val="20"/>
              </w:rPr>
              <w:t>T</w:t>
            </w:r>
            <w:r>
              <w:rPr>
                <w:sz w:val="20"/>
                <w:szCs w:val="20"/>
                <w:vertAlign w:val="subscript"/>
              </w:rPr>
              <w:t>activation_time</w:t>
            </w:r>
            <w:r>
              <w:rPr>
                <w:sz w:val="15"/>
                <w:szCs w:val="15"/>
              </w:rPr>
              <w:t xml:space="preserve"> </w:t>
            </w:r>
            <w:r>
              <w:rPr>
                <w:sz w:val="20"/>
                <w:szCs w:val="20"/>
              </w:rPr>
              <w:t>larger than 3ms, cover fine time/frequency sync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Align w:val="center"/>
          </w:tcPr>
          <w:p>
            <w:pPr>
              <w:overflowPunct w:val="0"/>
              <w:autoSpaceDE w:val="0"/>
              <w:autoSpaceDN w:val="0"/>
              <w:adjustRightInd w:val="0"/>
              <w:spacing w:after="120"/>
              <w:jc w:val="center"/>
              <w:rPr>
                <w:sz w:val="20"/>
                <w:szCs w:val="20"/>
              </w:rPr>
            </w:pPr>
            <w:r>
              <w:rPr>
                <w:sz w:val="20"/>
                <w:szCs w:val="20"/>
              </w:rPr>
              <w:t>Reception power difference</w:t>
            </w:r>
          </w:p>
        </w:tc>
        <w:tc>
          <w:tcPr>
            <w:tcW w:w="1883" w:type="dxa"/>
            <w:vAlign w:val="center"/>
          </w:tcPr>
          <w:p>
            <w:pPr>
              <w:overflowPunct w:val="0"/>
              <w:autoSpaceDE w:val="0"/>
              <w:autoSpaceDN w:val="0"/>
              <w:adjustRightInd w:val="0"/>
              <w:spacing w:after="120"/>
              <w:jc w:val="center"/>
              <w:rPr>
                <w:sz w:val="20"/>
                <w:szCs w:val="20"/>
              </w:rPr>
            </w:pPr>
            <w:r>
              <w:rPr>
                <w:rFonts w:hint="eastAsia"/>
                <w:sz w:val="20"/>
                <w:szCs w:val="20"/>
                <w:lang w:val="en-US" w:eastAsia="zh-CN"/>
              </w:rPr>
              <w:t xml:space="preserve">Within </w:t>
            </w:r>
            <w:r>
              <w:rPr>
                <w:rFonts w:hint="eastAsia"/>
                <w:sz w:val="20"/>
                <w:szCs w:val="20"/>
              </w:rPr>
              <w:t>6</w:t>
            </w:r>
            <w:r>
              <w:rPr>
                <w:sz w:val="20"/>
                <w:szCs w:val="20"/>
              </w:rPr>
              <w:t>dB</w:t>
            </w:r>
          </w:p>
        </w:tc>
        <w:tc>
          <w:tcPr>
            <w:tcW w:w="3495"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se the same AGC module and AGC gain as the inter-band active serving cell</w:t>
            </w:r>
          </w:p>
        </w:tc>
        <w:tc>
          <w:tcPr>
            <w:tcW w:w="2339" w:type="dxa"/>
            <w:vMerge w:val="continue"/>
            <w:vAlign w:val="center"/>
          </w:tcPr>
          <w:p>
            <w:pPr>
              <w:overflowPunct w:val="0"/>
              <w:autoSpaceDE w:val="0"/>
              <w:autoSpaceDN w:val="0"/>
              <w:adjustRightInd w:val="0"/>
              <w:spacing w:after="120"/>
              <w:jc w:val="center"/>
              <w:rPr>
                <w:sz w:val="20"/>
                <w:szCs w:val="20"/>
              </w:rPr>
            </w:pPr>
          </w:p>
        </w:tc>
      </w:tr>
    </w:tbl>
    <w:p>
      <w:pPr>
        <w:overflowPunct w:val="0"/>
        <w:autoSpaceDE w:val="0"/>
        <w:autoSpaceDN w:val="0"/>
        <w:adjustRightInd w:val="0"/>
        <w:spacing w:after="120"/>
        <w:rPr>
          <w:sz w:val="20"/>
          <w:szCs w:val="20"/>
        </w:rPr>
      </w:pPr>
    </w:p>
    <w:tbl>
      <w:tblPr>
        <w:tblStyle w:val="20"/>
        <w:tblW w:w="93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894"/>
        <w:gridCol w:w="3483"/>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346" w:type="dxa"/>
            <w:gridSpan w:val="4"/>
            <w:vAlign w:val="center"/>
          </w:tcPr>
          <w:p>
            <w:pPr>
              <w:overflowPunct w:val="0"/>
              <w:autoSpaceDE w:val="0"/>
              <w:autoSpaceDN w:val="0"/>
              <w:adjustRightInd w:val="0"/>
              <w:spacing w:after="120"/>
              <w:jc w:val="center"/>
              <w:rPr>
                <w:sz w:val="20"/>
                <w:szCs w:val="20"/>
              </w:rPr>
            </w:pPr>
            <w:r>
              <w:rPr>
                <w:rFonts w:hint="eastAsia"/>
                <w:b/>
                <w:bCs/>
                <w:sz w:val="20"/>
                <w:szCs w:val="20"/>
              </w:rPr>
              <w:t>S</w:t>
            </w:r>
            <w:r>
              <w:rPr>
                <w:b/>
                <w:bCs/>
                <w:sz w:val="20"/>
                <w:szCs w:val="20"/>
              </w:rPr>
              <w:t>cenario 1, Case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513" w:type="dxa"/>
            <w:gridSpan w:val="2"/>
            <w:vAlign w:val="center"/>
          </w:tcPr>
          <w:p>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3483"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2350" w:type="dxa"/>
            <w:vAlign w:val="center"/>
          </w:tcPr>
          <w:p>
            <w:pPr>
              <w:overflowPunct w:val="0"/>
              <w:autoSpaceDE w:val="0"/>
              <w:autoSpaceDN w:val="0"/>
              <w:adjustRightInd w:val="0"/>
              <w:spacing w:after="120"/>
              <w:jc w:val="center"/>
              <w:rPr>
                <w:sz w:val="20"/>
                <w:szCs w:val="20"/>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9" w:type="dxa"/>
            <w:vAlign w:val="center"/>
          </w:tcPr>
          <w:p>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894" w:type="dxa"/>
            <w:vAlign w:val="center"/>
          </w:tcPr>
          <w:p>
            <w:pPr>
              <w:overflowPunct w:val="0"/>
              <w:autoSpaceDE w:val="0"/>
              <w:autoSpaceDN w:val="0"/>
              <w:adjustRightInd w:val="0"/>
              <w:spacing w:after="120"/>
              <w:jc w:val="center"/>
              <w:rPr>
                <w:sz w:val="20"/>
                <w:szCs w:val="20"/>
              </w:rPr>
            </w:pPr>
            <w:r>
              <w:rPr>
                <w:rFonts w:hint="eastAsia"/>
                <w:sz w:val="20"/>
                <w:szCs w:val="20"/>
              </w:rPr>
              <w:t>260ns &lt; RTD &lt; CP</w:t>
            </w:r>
          </w:p>
        </w:tc>
        <w:tc>
          <w:tcPr>
            <w:tcW w:w="3483" w:type="dxa"/>
            <w:vAlign w:val="center"/>
          </w:tcPr>
          <w:p>
            <w:pPr>
              <w:overflowPunct w:val="0"/>
              <w:autoSpaceDE w:val="0"/>
              <w:autoSpaceDN w:val="0"/>
              <w:adjustRightInd w:val="0"/>
              <w:spacing w:after="120"/>
              <w:jc w:val="center"/>
              <w:rPr>
                <w:sz w:val="20"/>
                <w:szCs w:val="20"/>
              </w:rPr>
            </w:pPr>
            <w:r>
              <w:rPr>
                <w:sz w:val="20"/>
                <w:szCs w:val="20"/>
              </w:rPr>
              <w:t>Borrow the timing from the inter-band active serving cell for</w:t>
            </w:r>
            <w:r>
              <w:rPr>
                <w:rFonts w:hint="eastAsia"/>
                <w:sz w:val="20"/>
                <w:szCs w:val="20"/>
                <w:lang w:val="en-US" w:eastAsia="zh-CN"/>
              </w:rPr>
              <w:t xml:space="preserve"> coarse</w:t>
            </w:r>
            <w:r>
              <w:rPr>
                <w:sz w:val="20"/>
                <w:szCs w:val="20"/>
              </w:rPr>
              <w:t xml:space="preserve"> sync,</w:t>
            </w:r>
            <w:r>
              <w:rPr>
                <w:rFonts w:hint="eastAsia"/>
                <w:sz w:val="20"/>
                <w:szCs w:val="20"/>
                <w:lang w:val="en-US" w:eastAsia="zh-CN"/>
              </w:rPr>
              <w:t xml:space="preserve"> and use TRS for fine sync</w:t>
            </w:r>
          </w:p>
        </w:tc>
        <w:tc>
          <w:tcPr>
            <w:tcW w:w="2350" w:type="dxa"/>
            <w:vMerge w:val="restart"/>
            <w:vAlign w:val="center"/>
          </w:tcPr>
          <w:p>
            <w:pPr>
              <w:overflowPunct w:val="0"/>
              <w:autoSpaceDE w:val="0"/>
              <w:autoSpaceDN w:val="0"/>
              <w:adjustRightInd w:val="0"/>
              <w:spacing w:after="120"/>
              <w:jc w:val="center"/>
              <w:rPr>
                <w:sz w:val="20"/>
                <w:szCs w:val="20"/>
              </w:rPr>
            </w:pPr>
            <w:r>
              <w:rPr>
                <w:sz w:val="20"/>
                <w:szCs w:val="20"/>
              </w:rPr>
              <w:t>T</w:t>
            </w:r>
            <w:r>
              <w:rPr>
                <w:sz w:val="20"/>
                <w:szCs w:val="20"/>
                <w:vertAlign w:val="subscript"/>
              </w:rPr>
              <w:t>activation_time</w:t>
            </w:r>
            <w:r>
              <w:rPr>
                <w:sz w:val="15"/>
                <w:szCs w:val="15"/>
              </w:rPr>
              <w:t xml:space="preserve"> </w:t>
            </w:r>
            <w:r>
              <w:rPr>
                <w:sz w:val="20"/>
                <w:szCs w:val="20"/>
              </w:rPr>
              <w:t>larger than 3ms, to at least cover AGC adjust delay and fine time/frequency sync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vAlign w:val="center"/>
          </w:tcPr>
          <w:p>
            <w:pPr>
              <w:overflowPunct w:val="0"/>
              <w:autoSpaceDE w:val="0"/>
              <w:autoSpaceDN w:val="0"/>
              <w:adjustRightInd w:val="0"/>
              <w:spacing w:after="120"/>
              <w:jc w:val="center"/>
              <w:rPr>
                <w:sz w:val="20"/>
                <w:szCs w:val="20"/>
              </w:rPr>
            </w:pPr>
            <w:r>
              <w:rPr>
                <w:sz w:val="20"/>
                <w:szCs w:val="20"/>
              </w:rPr>
              <w:t>Reception power difference</w:t>
            </w:r>
          </w:p>
        </w:tc>
        <w:tc>
          <w:tcPr>
            <w:tcW w:w="1894" w:type="dxa"/>
            <w:vAlign w:val="center"/>
          </w:tcPr>
          <w:p>
            <w:pPr>
              <w:overflowPunct w:val="0"/>
              <w:autoSpaceDE w:val="0"/>
              <w:autoSpaceDN w:val="0"/>
              <w:adjustRightInd w:val="0"/>
              <w:spacing w:after="120"/>
              <w:jc w:val="center"/>
              <w:rPr>
                <w:sz w:val="20"/>
                <w:szCs w:val="20"/>
              </w:rPr>
            </w:pPr>
            <w:r>
              <w:rPr>
                <w:rFonts w:hint="eastAsia"/>
                <w:sz w:val="20"/>
                <w:szCs w:val="20"/>
                <w:lang w:val="en-US" w:eastAsia="zh-CN"/>
              </w:rPr>
              <w:t xml:space="preserve">Larger than </w:t>
            </w:r>
            <w:r>
              <w:rPr>
                <w:rFonts w:hint="eastAsia"/>
                <w:sz w:val="20"/>
                <w:szCs w:val="20"/>
              </w:rPr>
              <w:t>6</w:t>
            </w:r>
            <w:r>
              <w:rPr>
                <w:sz w:val="20"/>
                <w:szCs w:val="20"/>
              </w:rPr>
              <w:t>dB</w:t>
            </w:r>
          </w:p>
        </w:tc>
        <w:tc>
          <w:tcPr>
            <w:tcW w:w="3483"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se the separate AGC module and different AGC gain between the SSB-less SCC and the FR1 inter-band active serving CC.</w:t>
            </w:r>
          </w:p>
        </w:tc>
        <w:tc>
          <w:tcPr>
            <w:tcW w:w="2350" w:type="dxa"/>
            <w:vMerge w:val="continue"/>
            <w:vAlign w:val="center"/>
          </w:tcPr>
          <w:p>
            <w:pPr>
              <w:overflowPunct w:val="0"/>
              <w:autoSpaceDE w:val="0"/>
              <w:autoSpaceDN w:val="0"/>
              <w:adjustRightInd w:val="0"/>
              <w:spacing w:after="120"/>
              <w:jc w:val="center"/>
              <w:rPr>
                <w:sz w:val="20"/>
                <w:szCs w:val="20"/>
              </w:rPr>
            </w:pPr>
          </w:p>
        </w:tc>
      </w:tr>
    </w:tbl>
    <w:p>
      <w:pPr>
        <w:overflowPunct w:val="0"/>
        <w:autoSpaceDE w:val="0"/>
        <w:autoSpaceDN w:val="0"/>
        <w:adjustRightInd w:val="0"/>
        <w:spacing w:before="60" w:after="120"/>
        <w:jc w:val="both"/>
        <w:rPr>
          <w:b/>
          <w:bCs/>
          <w:i/>
          <w:iCs/>
          <w:sz w:val="20"/>
          <w:szCs w:val="20"/>
        </w:rPr>
      </w:pPr>
      <w:r>
        <w:rPr>
          <w:b/>
          <w:bCs/>
          <w:i/>
          <w:iCs/>
          <w:sz w:val="20"/>
          <w:szCs w:val="20"/>
        </w:rPr>
        <w:t xml:space="preserve">Observation </w:t>
      </w:r>
      <w:r>
        <w:rPr>
          <w:rFonts w:hint="eastAsia"/>
          <w:b/>
          <w:bCs/>
          <w:i/>
          <w:iCs/>
          <w:sz w:val="20"/>
          <w:szCs w:val="20"/>
          <w:lang w:val="en-US" w:eastAsia="zh-CN"/>
        </w:rPr>
        <w:t>2</w:t>
      </w:r>
      <w:r>
        <w:rPr>
          <w:b/>
          <w:bCs/>
          <w:i/>
          <w:iCs/>
          <w:sz w:val="20"/>
          <w:szCs w:val="20"/>
        </w:rPr>
        <w:t xml:space="preserve">: </w:t>
      </w:r>
      <w:r>
        <w:rPr>
          <w:rFonts w:hint="eastAsia"/>
          <w:b/>
          <w:bCs/>
          <w:i/>
          <w:iCs/>
          <w:sz w:val="20"/>
          <w:szCs w:val="20"/>
        </w:rPr>
        <w:t xml:space="preserve">Different side conditions correspond to different UE behavior during SCell activation, moreover, different SCell activation delay requirement, which are packaged. </w:t>
      </w:r>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w:t>
      </w:r>
      <w:r>
        <w:rPr>
          <w:rFonts w:hint="eastAsia"/>
          <w:b/>
          <w:bCs/>
          <w:i/>
          <w:iCs/>
          <w:sz w:val="20"/>
          <w:szCs w:val="20"/>
          <w:lang w:val="en-US" w:eastAsia="zh-CN"/>
        </w:rPr>
        <w:t xml:space="preserve"> There are three cases under Scenario 1, which are:</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1:</w:t>
      </w:r>
    </w:p>
    <w:p>
      <w:pPr>
        <w:numPr>
          <w:ilvl w:val="1"/>
          <w:numId w:val="7"/>
        </w:numPr>
        <w:overflowPunct w:val="0"/>
        <w:autoSpaceDE w:val="0"/>
        <w:autoSpaceDN w:val="0"/>
        <w:adjustRightInd w:val="0"/>
        <w:spacing w:after="120"/>
        <w:ind w:left="840" w:leftChars="0" w:hanging="420" w:firstLineChars="0"/>
        <w:rPr>
          <w:rFonts w:hint="eastAsia"/>
          <w:b/>
          <w:bCs/>
          <w:i/>
          <w:iCs/>
          <w:sz w:val="20"/>
          <w:szCs w:val="20"/>
          <w:lang w:val="en-US" w:eastAsia="zh-CN"/>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lang w:val="en-US" w:eastAsia="zh-CN"/>
        </w:rPr>
        <w:t>260ns</w:t>
      </w:r>
    </w:p>
    <w:p>
      <w:pPr>
        <w:numPr>
          <w:ilvl w:val="1"/>
          <w:numId w:val="7"/>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rPr>
          <w:rFonts w:hint="default" w:eastAsiaTheme="minorEastAsia"/>
          <w:b/>
          <w:bCs/>
          <w:i/>
          <w:iCs/>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20"/>
          <w:szCs w:val="20"/>
        </w:rPr>
        <w:t>=3ms</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2:</w:t>
      </w:r>
    </w:p>
    <w:p>
      <w:pPr>
        <w:numPr>
          <w:ilvl w:val="1"/>
          <w:numId w:val="7"/>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260ns &lt; RTD &lt; CP</w:t>
      </w:r>
    </w:p>
    <w:p>
      <w:pPr>
        <w:numPr>
          <w:ilvl w:val="1"/>
          <w:numId w:val="7"/>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rPr>
          <w:b/>
          <w:bCs/>
          <w:i/>
          <w:iCs/>
          <w:sz w:val="20"/>
          <w:szCs w:val="20"/>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at least cover fine time/frequency sync delay</w:t>
      </w:r>
      <w:r>
        <w:rPr>
          <w:rFonts w:hint="eastAsia"/>
          <w:b/>
          <w:bCs/>
          <w:i/>
          <w:iCs/>
          <w:sz w:val="20"/>
          <w:szCs w:val="20"/>
          <w:lang w:val="en-US" w:eastAsia="zh-CN"/>
        </w:rPr>
        <w:t>.</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3:</w:t>
      </w:r>
    </w:p>
    <w:p>
      <w:pPr>
        <w:numPr>
          <w:ilvl w:val="1"/>
          <w:numId w:val="7"/>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260ns &lt; RTD &lt; CP</w:t>
      </w:r>
    </w:p>
    <w:p>
      <w:pPr>
        <w:numPr>
          <w:ilvl w:val="1"/>
          <w:numId w:val="7"/>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Larger than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rPr>
          <w:rFonts w:hint="default"/>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to at least cover AGC adjust delay and fine time/frequency sync delay</w:t>
      </w:r>
      <w:r>
        <w:rPr>
          <w:rFonts w:hint="eastAsia"/>
          <w:b/>
          <w:bCs/>
          <w:i/>
          <w:iCs/>
          <w:sz w:val="20"/>
          <w:szCs w:val="20"/>
          <w:lang w:val="en-US" w:eastAsia="zh-CN"/>
        </w:rPr>
        <w:t>.</w:t>
      </w:r>
    </w:p>
    <w:p>
      <w:pPr>
        <w:pStyle w:val="2"/>
        <w:numPr>
          <w:ilvl w:val="1"/>
          <w:numId w:val="3"/>
        </w:numP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L1/L3 measurement for SSB-less Scell</w:t>
      </w:r>
    </w:p>
    <w:p>
      <w:pPr>
        <w:rPr>
          <w:b/>
          <w:i/>
          <w:iCs/>
          <w:sz w:val="20"/>
          <w:szCs w:val="20"/>
          <w:u w:val="single"/>
          <w:lang w:eastAsia="ko-KR"/>
        </w:rPr>
      </w:pPr>
      <w:r>
        <w:rPr>
          <w:b/>
          <w:i/>
          <w:iCs/>
          <w:sz w:val="20"/>
          <w:szCs w:val="20"/>
          <w:u w:val="single"/>
          <w:lang w:eastAsia="ko-KR"/>
        </w:rPr>
        <w:t>Issue 1-4-1: Whether to have L1 measurement on SSB-less SCell</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If UE actives the SSB-less SCell, it means all side conditions about time/freq/power are fulfilled by UE. Therefore, after SSB-less SCell activation, whether UE need to perform L1 measurement on SSB-less SCell can up to network decision. If network configures CSI-RS based L1 measurements to UE, then UE should perform L1 measurements, the legacy requirements can be applied. If network doesn</w:t>
      </w:r>
      <w:r>
        <w:rPr>
          <w:rFonts w:hint="default"/>
          <w:sz w:val="20"/>
          <w:szCs w:val="20"/>
          <w:lang w:val="en-US" w:eastAsia="zh-CN"/>
        </w:rPr>
        <w:t>’</w:t>
      </w:r>
      <w:r>
        <w:rPr>
          <w:rFonts w:hint="eastAsia"/>
          <w:sz w:val="20"/>
          <w:szCs w:val="20"/>
          <w:lang w:val="en-US" w:eastAsia="zh-CN"/>
        </w:rPr>
        <w:t>t configure CSI-RS based L1 measurements to UE, then UE is not needed to perform L1 measurements.</w:t>
      </w:r>
    </w:p>
    <w:p>
      <w:pPr>
        <w:overflowPunct w:val="0"/>
        <w:autoSpaceDE w:val="0"/>
        <w:autoSpaceDN w:val="0"/>
        <w:adjustRightInd w:val="0"/>
        <w:spacing w:after="120"/>
        <w:jc w:val="both"/>
        <w:rPr>
          <w:rFonts w:hint="eastAsia"/>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rPr>
        <w:t xml:space="preserve"> </w:t>
      </w:r>
      <w:r>
        <w:rPr>
          <w:rFonts w:hint="eastAsia"/>
          <w:b/>
          <w:bCs/>
          <w:i/>
          <w:iCs/>
          <w:sz w:val="20"/>
          <w:szCs w:val="20"/>
          <w:lang w:val="en-US" w:eastAsia="zh-CN"/>
        </w:rPr>
        <w:t>W</w:t>
      </w:r>
      <w:r>
        <w:rPr>
          <w:rFonts w:hint="eastAsia"/>
          <w:b/>
          <w:bCs/>
          <w:i/>
          <w:iCs/>
          <w:sz w:val="20"/>
          <w:szCs w:val="20"/>
        </w:rPr>
        <w:t xml:space="preserve">hether UE need to </w:t>
      </w:r>
      <w:r>
        <w:rPr>
          <w:rFonts w:hint="eastAsia"/>
          <w:b/>
          <w:bCs/>
          <w:i/>
          <w:iCs/>
          <w:sz w:val="20"/>
          <w:szCs w:val="20"/>
          <w:lang w:val="en-US" w:eastAsia="zh-CN"/>
        </w:rPr>
        <w:t>perform</w:t>
      </w:r>
      <w:r>
        <w:rPr>
          <w:rFonts w:hint="eastAsia"/>
          <w:b/>
          <w:bCs/>
          <w:i/>
          <w:iCs/>
          <w:sz w:val="20"/>
          <w:szCs w:val="20"/>
        </w:rPr>
        <w:t xml:space="preserve"> L1 measurement on SSB-less SCell can up to network decision. </w:t>
      </w:r>
    </w:p>
    <w:p>
      <w:pPr>
        <w:numPr>
          <w:ilvl w:val="0"/>
          <w:numId w:val="8"/>
        </w:numPr>
        <w:overflowPunct w:val="0"/>
        <w:autoSpaceDE w:val="0"/>
        <w:autoSpaceDN w:val="0"/>
        <w:adjustRightInd w:val="0"/>
        <w:spacing w:after="120"/>
        <w:ind w:left="420" w:leftChars="0" w:hanging="420" w:firstLineChars="0"/>
        <w:jc w:val="both"/>
        <w:rPr>
          <w:rFonts w:hint="eastAsia"/>
          <w:b/>
          <w:bCs/>
          <w:i/>
          <w:iCs/>
          <w:sz w:val="20"/>
          <w:szCs w:val="20"/>
        </w:rPr>
      </w:pPr>
      <w:r>
        <w:rPr>
          <w:rFonts w:hint="eastAsia"/>
          <w:b/>
          <w:bCs/>
          <w:i/>
          <w:iCs/>
          <w:sz w:val="20"/>
          <w:szCs w:val="20"/>
        </w:rPr>
        <w:t xml:space="preserve">If network configures CSI-RS based L1 measurements to UE, then UE should perform L1 measurements, the legacy requirements can be applied. </w:t>
      </w:r>
    </w:p>
    <w:p>
      <w:pPr>
        <w:numPr>
          <w:ilvl w:val="0"/>
          <w:numId w:val="8"/>
        </w:numPr>
        <w:overflowPunct w:val="0"/>
        <w:autoSpaceDE w:val="0"/>
        <w:autoSpaceDN w:val="0"/>
        <w:adjustRightInd w:val="0"/>
        <w:spacing w:after="120"/>
        <w:ind w:left="420" w:leftChars="0" w:hanging="420" w:firstLineChars="0"/>
        <w:jc w:val="both"/>
        <w:rPr>
          <w:rFonts w:hint="eastAsia"/>
          <w:b/>
          <w:bCs/>
          <w:i/>
          <w:iCs/>
          <w:sz w:val="20"/>
          <w:szCs w:val="20"/>
        </w:rPr>
      </w:pPr>
      <w:r>
        <w:rPr>
          <w:rFonts w:hint="eastAsia"/>
          <w:b/>
          <w:bCs/>
          <w:i/>
          <w:iCs/>
          <w:sz w:val="20"/>
          <w:szCs w:val="20"/>
        </w:rPr>
        <w:t>If network doesn’t configure CSI-RS based L1 measurements to UE, then UE is not needed to perform L1 measurements.</w:t>
      </w:r>
    </w:p>
    <w:p>
      <w:pPr>
        <w:rPr>
          <w:b/>
          <w:i/>
          <w:iCs/>
          <w:sz w:val="20"/>
          <w:szCs w:val="20"/>
          <w:u w:val="single"/>
          <w:lang w:eastAsia="ko-KR"/>
        </w:rPr>
      </w:pPr>
      <w:r>
        <w:rPr>
          <w:b/>
          <w:i/>
          <w:iCs/>
          <w:sz w:val="20"/>
          <w:szCs w:val="20"/>
          <w:u w:val="single"/>
          <w:lang w:eastAsia="ko-KR"/>
        </w:rPr>
        <w:t xml:space="preserve">Issue 1-5-1: L3 RRM requirements </w:t>
      </w:r>
    </w:p>
    <w:p>
      <w:pPr>
        <w:numPr>
          <w:ilvl w:val="0"/>
          <w:numId w:val="0"/>
        </w:numPr>
        <w:overflowPunct w:val="0"/>
        <w:autoSpaceDE w:val="0"/>
        <w:autoSpaceDN w:val="0"/>
        <w:adjustRightInd w:val="0"/>
        <w:spacing w:after="120"/>
        <w:jc w:val="both"/>
        <w:rPr>
          <w:rFonts w:hint="eastAsia"/>
          <w:b w:val="0"/>
          <w:bCs w:val="0"/>
          <w:i w:val="0"/>
          <w:iCs w:val="0"/>
          <w:sz w:val="20"/>
          <w:szCs w:val="20"/>
          <w:lang w:val="en-US" w:eastAsia="zh-CN"/>
        </w:rPr>
      </w:pPr>
      <w:r>
        <w:rPr>
          <w:rFonts w:hint="eastAsia"/>
          <w:sz w:val="20"/>
          <w:szCs w:val="20"/>
          <w:lang w:val="en-US" w:eastAsia="zh-CN"/>
        </w:rPr>
        <w:t>The SSB-less SCell operation is only for co-located scenario and all side conditions about time/freq/power are fulfilled by UE. Besides</w:t>
      </w:r>
      <w:r>
        <w:rPr>
          <w:rFonts w:hint="eastAsia"/>
          <w:b w:val="0"/>
          <w:bCs w:val="0"/>
          <w:i w:val="0"/>
          <w:iCs w:val="0"/>
          <w:sz w:val="20"/>
          <w:szCs w:val="20"/>
          <w:lang w:val="en-US" w:eastAsia="zh-CN"/>
        </w:rPr>
        <w:t xml:space="preserve"> In such case, the L3 measurement is mainly for mobility, we think it can be skipped. The mobility for SSB-less SCell could follow the L3 measurement on Pcell or other active cells.</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7</w:t>
      </w:r>
      <w:r>
        <w:rPr>
          <w:b/>
          <w:bCs/>
          <w:i/>
          <w:iCs/>
          <w:sz w:val="20"/>
          <w:szCs w:val="20"/>
        </w:rPr>
        <w:t xml:space="preserve">: </w:t>
      </w:r>
      <w:r>
        <w:rPr>
          <w:rFonts w:hint="eastAsia"/>
          <w:b/>
          <w:bCs/>
          <w:i/>
          <w:iCs/>
          <w:sz w:val="20"/>
          <w:szCs w:val="20"/>
          <w:lang w:val="en-US" w:eastAsia="zh-CN"/>
        </w:rPr>
        <w:t xml:space="preserve">The L3 measurements on SSB-less SCell can be skipped. </w:t>
      </w:r>
    </w:p>
    <w:p>
      <w:pPr>
        <w:pStyle w:val="2"/>
        <w:numPr>
          <w:ilvl w:val="1"/>
          <w:numId w:val="3"/>
        </w:numP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Others</w:t>
      </w:r>
    </w:p>
    <w:p>
      <w:pPr>
        <w:rPr>
          <w:rFonts w:hint="eastAsia"/>
          <w:b/>
          <w:i/>
          <w:iCs/>
          <w:sz w:val="20"/>
          <w:szCs w:val="20"/>
          <w:u w:val="single"/>
          <w:lang w:eastAsia="ko-KR"/>
        </w:rPr>
      </w:pPr>
      <w:r>
        <w:rPr>
          <w:rFonts w:hint="eastAsia"/>
          <w:b/>
          <w:i/>
          <w:iCs/>
          <w:sz w:val="20"/>
          <w:szCs w:val="20"/>
          <w:u w:val="single"/>
          <w:lang w:eastAsia="ko-KR"/>
        </w:rPr>
        <w:t xml:space="preserve">Issue 1-6-1: Reference Cell </w:t>
      </w:r>
    </w:p>
    <w:p>
      <w:pPr>
        <w:rPr>
          <w:rFonts w:hint="eastAsia"/>
          <w:b/>
          <w:i/>
          <w:iCs/>
          <w:sz w:val="20"/>
          <w:szCs w:val="20"/>
          <w:u w:val="single"/>
          <w:lang w:eastAsia="ko-KR"/>
        </w:rPr>
      </w:pPr>
      <w:r>
        <w:rPr>
          <w:rFonts w:hint="eastAsia"/>
          <w:b/>
          <w:i/>
          <w:iCs/>
          <w:sz w:val="20"/>
          <w:szCs w:val="20"/>
          <w:u w:val="single"/>
          <w:lang w:eastAsia="ko-KR"/>
        </w:rPr>
        <w:t xml:space="preserve">Issue 1-6-2: Reference Cell indication </w:t>
      </w:r>
    </w:p>
    <w:p>
      <w:pPr>
        <w:overflowPunct w:val="0"/>
        <w:autoSpaceDE w:val="0"/>
        <w:autoSpaceDN w:val="0"/>
        <w:adjustRightInd w:val="0"/>
        <w:spacing w:after="120"/>
        <w:jc w:val="both"/>
        <w:rPr>
          <w:rFonts w:hint="default"/>
          <w:sz w:val="20"/>
          <w:szCs w:val="20"/>
          <w:lang w:val="en-US" w:eastAsia="zh-CN"/>
        </w:rPr>
      </w:pPr>
      <w:r>
        <w:rPr>
          <w:rFonts w:hint="eastAsia"/>
          <w:sz w:val="20"/>
          <w:szCs w:val="20"/>
          <w:lang w:val="en-US" w:eastAsia="zh-CN"/>
        </w:rPr>
        <w:t>We support to introduce an optional indication for network to indicate which Cell/CC could be taken as reference cell during SSB-less SCell operation, since network has more information about time/frequency and power relationship among Cells/CCs.</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If network doesn</w:t>
      </w:r>
      <w:r>
        <w:rPr>
          <w:rFonts w:hint="default"/>
          <w:sz w:val="20"/>
          <w:szCs w:val="20"/>
          <w:lang w:val="en-US" w:eastAsia="zh-CN"/>
        </w:rPr>
        <w:t>’</w:t>
      </w:r>
      <w:r>
        <w:rPr>
          <w:rFonts w:hint="eastAsia"/>
          <w:sz w:val="20"/>
          <w:szCs w:val="20"/>
          <w:lang w:val="en-US" w:eastAsia="zh-CN"/>
        </w:rPr>
        <w:t>t configure such indication to UE, we propose to define the default UE behavior. UE should first consider the PCell as the reference cell, since the PCell could keep being activated and transmit the SSB all the time.</w:t>
      </w:r>
    </w:p>
    <w:p>
      <w:pPr>
        <w:pStyle w:val="74"/>
        <w:numPr>
          <w:ilvl w:val="0"/>
          <w:numId w:val="0"/>
        </w:numPr>
        <w:spacing w:after="120" w:line="240" w:lineRule="auto"/>
        <w:jc w:val="both"/>
        <w:rPr>
          <w:rFonts w:hint="default" w:eastAsia="宋体"/>
          <w:b/>
          <w:bCs/>
          <w:i/>
          <w:iCs/>
          <w:sz w:val="20"/>
          <w:szCs w:val="20"/>
          <w:lang w:val="en-US" w:eastAsia="zh-CN"/>
        </w:rPr>
      </w:pPr>
      <w:r>
        <w:rPr>
          <w:rFonts w:hint="eastAsia" w:eastAsia="宋体"/>
          <w:b/>
          <w:bCs/>
          <w:i/>
          <w:iCs/>
          <w:sz w:val="20"/>
          <w:szCs w:val="20"/>
          <w:lang w:val="en-US" w:eastAsia="zh-CN"/>
        </w:rPr>
        <w:t>Proposal 8: Introduce an optional indication for network to indicate which Cell/CC could be taken as reference cell during the SSB-less SCell operation.</w:t>
      </w:r>
    </w:p>
    <w:p>
      <w:pPr>
        <w:pStyle w:val="74"/>
        <w:numPr>
          <w:ilvl w:val="0"/>
          <w:numId w:val="0"/>
        </w:numPr>
        <w:spacing w:after="120" w:line="240" w:lineRule="auto"/>
        <w:jc w:val="both"/>
        <w:rPr>
          <w:rFonts w:hint="eastAsia"/>
          <w:b/>
          <w:i/>
          <w:iCs/>
          <w:sz w:val="20"/>
          <w:szCs w:val="20"/>
          <w:u w:val="single"/>
          <w:lang w:eastAsia="ko-KR"/>
        </w:rPr>
      </w:pPr>
      <w:r>
        <w:rPr>
          <w:rFonts w:hint="eastAsia" w:eastAsia="宋体"/>
          <w:b/>
          <w:bCs/>
          <w:i/>
          <w:iCs/>
          <w:sz w:val="20"/>
          <w:szCs w:val="20"/>
          <w:lang w:val="en-US" w:eastAsia="zh-CN"/>
        </w:rPr>
        <w:t>Proposal 9: If network doesn</w:t>
      </w:r>
      <w:r>
        <w:rPr>
          <w:rFonts w:hint="default" w:eastAsia="宋体"/>
          <w:b/>
          <w:bCs/>
          <w:i/>
          <w:iCs/>
          <w:sz w:val="20"/>
          <w:szCs w:val="20"/>
          <w:lang w:val="en-US" w:eastAsia="zh-CN"/>
        </w:rPr>
        <w:t>’</w:t>
      </w:r>
      <w:r>
        <w:rPr>
          <w:rFonts w:hint="eastAsia" w:eastAsia="宋体"/>
          <w:b/>
          <w:bCs/>
          <w:i/>
          <w:iCs/>
          <w:sz w:val="20"/>
          <w:szCs w:val="20"/>
          <w:lang w:val="en-US" w:eastAsia="zh-CN"/>
        </w:rPr>
        <w:t>t indicate the reference cell, UE should first consider the PCell as the reference cell.</w:t>
      </w:r>
    </w:p>
    <w:p>
      <w:pPr>
        <w:rPr>
          <w:rFonts w:hint="eastAsia"/>
          <w:b/>
          <w:i/>
          <w:iCs/>
          <w:sz w:val="20"/>
          <w:szCs w:val="20"/>
          <w:u w:val="single"/>
          <w:lang w:eastAsia="ko-KR"/>
        </w:rPr>
      </w:pPr>
      <w:r>
        <w:rPr>
          <w:rFonts w:hint="eastAsia"/>
          <w:b/>
          <w:i/>
          <w:iCs/>
          <w:sz w:val="20"/>
          <w:szCs w:val="20"/>
          <w:u w:val="single"/>
          <w:lang w:eastAsia="ko-KR"/>
        </w:rPr>
        <w:t>Issue 1-6-3: UE capability</w:t>
      </w:r>
    </w:p>
    <w:p>
      <w:pPr>
        <w:spacing w:after="120"/>
        <w:rPr>
          <w:i/>
          <w:iCs/>
          <w:sz w:val="20"/>
          <w:szCs w:val="20"/>
          <w:lang w:eastAsia="zh-CN"/>
        </w:rPr>
      </w:pPr>
      <w:r>
        <w:rPr>
          <w:i/>
          <w:iCs/>
          <w:sz w:val="20"/>
          <w:szCs w:val="20"/>
          <w:lang w:eastAsia="zh-CN"/>
        </w:rPr>
        <w:t>Proposals</w:t>
      </w:r>
    </w:p>
    <w:p>
      <w:pPr>
        <w:numPr>
          <w:ilvl w:val="1"/>
          <w:numId w:val="6"/>
        </w:numPr>
        <w:overflowPunct w:val="0"/>
        <w:autoSpaceDE w:val="0"/>
        <w:autoSpaceDN w:val="0"/>
        <w:adjustRightInd w:val="0"/>
        <w:textAlignment w:val="baseline"/>
        <w:rPr>
          <w:i/>
          <w:iCs/>
          <w:sz w:val="20"/>
          <w:szCs w:val="20"/>
          <w:lang w:eastAsia="zh-CN"/>
        </w:rPr>
      </w:pPr>
      <w:r>
        <w:rPr>
          <w:i/>
          <w:iCs/>
          <w:sz w:val="20"/>
          <w:szCs w:val="20"/>
          <w:lang w:eastAsia="zh-CN"/>
        </w:rPr>
        <w:t>Proposal 1: UE capability for SSBless SCell should be defined per band combo where the band combo indicate the bands of reference cell and the SSBless SCell: (QC, Huawei, Ericsson)</w:t>
      </w:r>
    </w:p>
    <w:p>
      <w:pPr>
        <w:numPr>
          <w:ilvl w:val="2"/>
          <w:numId w:val="6"/>
        </w:numPr>
        <w:overflowPunct w:val="0"/>
        <w:autoSpaceDE w:val="0"/>
        <w:autoSpaceDN w:val="0"/>
        <w:adjustRightInd w:val="0"/>
        <w:textAlignment w:val="baseline"/>
        <w:rPr>
          <w:i/>
          <w:iCs/>
          <w:sz w:val="20"/>
          <w:szCs w:val="20"/>
          <w:lang w:eastAsia="zh-CN"/>
        </w:rPr>
      </w:pPr>
      <w:r>
        <w:rPr>
          <w:i/>
          <w:iCs/>
          <w:sz w:val="20"/>
          <w:szCs w:val="20"/>
          <w:lang w:eastAsia="zh-CN"/>
        </w:rPr>
        <w:t>Proposal 1a: (Ericsson)</w:t>
      </w:r>
    </w:p>
    <w:p>
      <w:pPr>
        <w:numPr>
          <w:ilvl w:val="3"/>
          <w:numId w:val="6"/>
        </w:numPr>
        <w:overflowPunct w:val="0"/>
        <w:autoSpaceDE w:val="0"/>
        <w:autoSpaceDN w:val="0"/>
        <w:adjustRightInd w:val="0"/>
        <w:textAlignment w:val="baseline"/>
        <w:rPr>
          <w:i/>
          <w:iCs/>
          <w:sz w:val="20"/>
          <w:szCs w:val="20"/>
          <w:lang w:eastAsia="zh-CN"/>
        </w:rPr>
      </w:pPr>
      <w:r>
        <w:rPr>
          <w:i/>
          <w:iCs/>
          <w:sz w:val="20"/>
          <w:szCs w:val="20"/>
          <w:lang w:eastAsia="zh-CN"/>
        </w:rPr>
        <w:t>RAN4 to agree to introduce UE capability to indicate which bands UE can support SSB less operation</w:t>
      </w:r>
    </w:p>
    <w:p>
      <w:pPr>
        <w:numPr>
          <w:ilvl w:val="3"/>
          <w:numId w:val="6"/>
        </w:numPr>
        <w:overflowPunct w:val="0"/>
        <w:autoSpaceDE w:val="0"/>
        <w:autoSpaceDN w:val="0"/>
        <w:adjustRightInd w:val="0"/>
        <w:textAlignment w:val="baseline"/>
        <w:rPr>
          <w:i/>
          <w:iCs/>
          <w:sz w:val="20"/>
          <w:szCs w:val="20"/>
          <w:lang w:eastAsia="zh-CN"/>
        </w:rPr>
      </w:pPr>
      <w:r>
        <w:rPr>
          <w:i/>
          <w:iCs/>
          <w:sz w:val="20"/>
          <w:szCs w:val="20"/>
          <w:lang w:eastAsia="zh-CN"/>
        </w:rPr>
        <w:t>RAN4 to agree to introduce NW flag to further indicate in which bands SSB less operation will be configured</w:t>
      </w:r>
    </w:p>
    <w:p>
      <w:pPr>
        <w:numPr>
          <w:ilvl w:val="3"/>
          <w:numId w:val="6"/>
        </w:numPr>
        <w:overflowPunct w:val="0"/>
        <w:autoSpaceDE w:val="0"/>
        <w:autoSpaceDN w:val="0"/>
        <w:adjustRightInd w:val="0"/>
        <w:textAlignment w:val="baseline"/>
        <w:rPr>
          <w:i/>
          <w:iCs/>
          <w:sz w:val="20"/>
          <w:szCs w:val="20"/>
          <w:lang w:eastAsia="zh-CN"/>
        </w:rPr>
      </w:pPr>
      <w:r>
        <w:rPr>
          <w:i/>
          <w:iCs/>
          <w:sz w:val="20"/>
          <w:szCs w:val="20"/>
          <w:lang w:eastAsia="zh-CN"/>
        </w:rPr>
        <w:t xml:space="preserve">RAN4 can send LS to RAN2 to introduce the UE capability signalling. </w:t>
      </w:r>
    </w:p>
    <w:p>
      <w:pPr>
        <w:overflowPunct w:val="0"/>
        <w:autoSpaceDE w:val="0"/>
        <w:autoSpaceDN w:val="0"/>
        <w:adjustRightInd w:val="0"/>
        <w:ind w:left="2376"/>
        <w:textAlignment w:val="baseline"/>
        <w:rPr>
          <w:i/>
          <w:iCs/>
          <w:sz w:val="20"/>
          <w:szCs w:val="20"/>
          <w:lang w:eastAsia="zh-CN"/>
        </w:rPr>
      </w:pPr>
    </w:p>
    <w:p>
      <w:pPr>
        <w:numPr>
          <w:ilvl w:val="1"/>
          <w:numId w:val="6"/>
        </w:numPr>
        <w:overflowPunct w:val="0"/>
        <w:autoSpaceDE w:val="0"/>
        <w:autoSpaceDN w:val="0"/>
        <w:adjustRightInd w:val="0"/>
        <w:textAlignment w:val="baseline"/>
        <w:rPr>
          <w:i/>
          <w:iCs/>
          <w:sz w:val="20"/>
          <w:szCs w:val="20"/>
          <w:lang w:eastAsia="zh-CN"/>
        </w:rPr>
      </w:pPr>
      <w:r>
        <w:rPr>
          <w:i/>
          <w:iCs/>
          <w:sz w:val="20"/>
          <w:szCs w:val="20"/>
          <w:lang w:eastAsia="zh-CN"/>
        </w:rPr>
        <w:t>Proposal 2: If FR1 inter-band SSB-less SCell operation is introduced in R18 NES, the existing capability scellWithoutSSB can be expanded to cover the R18 FR1 inter-band CA case (Apple)</w:t>
      </w:r>
    </w:p>
    <w:p>
      <w:pPr>
        <w:numPr>
          <w:ilvl w:val="2"/>
          <w:numId w:val="6"/>
        </w:numPr>
        <w:overflowPunct w:val="0"/>
        <w:autoSpaceDE w:val="0"/>
        <w:autoSpaceDN w:val="0"/>
        <w:adjustRightInd w:val="0"/>
        <w:textAlignment w:val="baseline"/>
        <w:rPr>
          <w:i/>
          <w:iCs/>
          <w:sz w:val="20"/>
          <w:szCs w:val="20"/>
          <w:lang w:eastAsia="zh-CN"/>
        </w:rPr>
      </w:pPr>
      <w:r>
        <w:rPr>
          <w:i/>
          <w:iCs/>
          <w:sz w:val="20"/>
          <w:szCs w:val="20"/>
          <w:lang w:eastAsia="zh-CN"/>
        </w:rPr>
        <w:t>Proposal 2a: New capabilities should be specified for intra-band non-contiguous CA and inter-band CA similar as scellWithoutSSB, or current definition of scellWithoutSSB should be extended to support SSB-less SCell for intra-band non-contiguous CA and inter-band CA scenarios. (SS)</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For inter-band SSB-Less SCell activation, whether the SSB-Less SCell activation can be supported depends on UE capability of performing time/frequency sync and AGC adjustments. Such UE capability may be various in different BC configuration. Therefore, we support to define the UE capability per band combination.</w:t>
      </w:r>
    </w:p>
    <w:p>
      <w:pPr>
        <w:pStyle w:val="74"/>
        <w:numPr>
          <w:ilvl w:val="0"/>
          <w:numId w:val="0"/>
        </w:numPr>
        <w:spacing w:after="120" w:line="240" w:lineRule="auto"/>
        <w:jc w:val="both"/>
        <w:rPr>
          <w:rFonts w:hint="eastAsia"/>
          <w:b/>
          <w:i/>
          <w:iCs/>
          <w:sz w:val="20"/>
          <w:szCs w:val="20"/>
          <w:u w:val="single"/>
          <w:lang w:val="en-US" w:eastAsia="zh-CN"/>
        </w:rPr>
      </w:pPr>
      <w:r>
        <w:rPr>
          <w:rFonts w:hint="eastAsia" w:eastAsia="宋体"/>
          <w:b/>
          <w:bCs/>
          <w:i/>
          <w:iCs/>
          <w:sz w:val="20"/>
          <w:szCs w:val="20"/>
          <w:lang w:val="en-US" w:eastAsia="zh-CN"/>
        </w:rPr>
        <w:t>Proposal 10: The UE capability for inter-band SSB less SCell activation can be defined per band combination.</w:t>
      </w:r>
    </w:p>
    <w:p>
      <w:pPr>
        <w:rPr>
          <w:rFonts w:hint="default"/>
          <w:b/>
          <w:i/>
          <w:iCs/>
          <w:sz w:val="20"/>
          <w:szCs w:val="20"/>
          <w:u w:val="single"/>
          <w:lang w:val="en-US" w:eastAsia="zh-CN"/>
        </w:rPr>
      </w:pPr>
    </w:p>
    <w:p>
      <w:pPr>
        <w:rPr>
          <w:rFonts w:hint="eastAsia"/>
          <w:b/>
          <w:i/>
          <w:iCs/>
          <w:sz w:val="20"/>
          <w:szCs w:val="20"/>
          <w:u w:val="single"/>
          <w:lang w:eastAsia="ko-KR"/>
        </w:rPr>
      </w:pPr>
      <w:r>
        <w:rPr>
          <w:rFonts w:hint="eastAsia"/>
          <w:b/>
          <w:i/>
          <w:iCs/>
          <w:sz w:val="20"/>
          <w:szCs w:val="20"/>
          <w:u w:val="single"/>
          <w:lang w:eastAsia="ko-KR"/>
        </w:rPr>
        <w:t>Issue 1-6-4: Intra-band CA</w:t>
      </w:r>
    </w:p>
    <w:p>
      <w:pPr>
        <w:numPr>
          <w:ilvl w:val="0"/>
          <w:numId w:val="0"/>
        </w:numPr>
        <w:overflowPunct w:val="0"/>
        <w:autoSpaceDE w:val="0"/>
        <w:autoSpaceDN w:val="0"/>
        <w:adjustRightInd w:val="0"/>
        <w:spacing w:after="120"/>
        <w:jc w:val="both"/>
        <w:rPr>
          <w:rFonts w:hint="eastAsia"/>
          <w:b w:val="0"/>
          <w:bCs w:val="0"/>
          <w:i w:val="0"/>
          <w:iCs w:val="0"/>
          <w:sz w:val="20"/>
          <w:szCs w:val="20"/>
          <w:lang w:val="en-US" w:eastAsia="zh-CN"/>
        </w:rPr>
      </w:pPr>
      <w:r>
        <w:rPr>
          <w:rFonts w:hint="eastAsia"/>
          <w:b w:val="0"/>
          <w:bCs w:val="0"/>
          <w:i w:val="0"/>
          <w:iCs w:val="0"/>
          <w:sz w:val="20"/>
          <w:szCs w:val="20"/>
          <w:lang w:val="en-US" w:eastAsia="zh-CN"/>
        </w:rPr>
        <w:t>In our understanding, the activation requirements together with corresponding side conditions specified for inter-band SSB-less SCell could also be applied to intra-band non-contiguous SSB-less SCell activation.</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11</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rPr>
          <w:rFonts w:hint="eastAsia"/>
          <w:b/>
          <w:i/>
          <w:iCs/>
          <w:sz w:val="20"/>
          <w:szCs w:val="20"/>
          <w:u w:val="single"/>
          <w:lang w:eastAsia="ko-KR"/>
        </w:rPr>
      </w:pPr>
    </w:p>
    <w:p>
      <w:pPr>
        <w:rPr>
          <w:rFonts w:hint="eastAsia"/>
          <w:b/>
          <w:i/>
          <w:iCs/>
          <w:sz w:val="20"/>
          <w:szCs w:val="20"/>
          <w:u w:val="single"/>
          <w:lang w:eastAsia="ko-KR"/>
        </w:rPr>
      </w:pPr>
      <w:r>
        <w:rPr>
          <w:rFonts w:hint="eastAsia"/>
          <w:b/>
          <w:i/>
          <w:iCs/>
          <w:sz w:val="20"/>
          <w:szCs w:val="20"/>
          <w:u w:val="single"/>
          <w:lang w:eastAsia="ko-KR"/>
        </w:rPr>
        <w:t>Issue 1-6-7: TAG</w:t>
      </w:r>
    </w:p>
    <w:p>
      <w:pPr>
        <w:pStyle w:val="74"/>
        <w:numPr>
          <w:ilvl w:val="0"/>
          <w:numId w:val="0"/>
        </w:numPr>
        <w:spacing w:after="120" w:line="240" w:lineRule="auto"/>
        <w:jc w:val="both"/>
        <w:rPr>
          <w:rFonts w:hint="eastAsia"/>
          <w:sz w:val="20"/>
          <w:szCs w:val="20"/>
          <w:lang w:val="en-US" w:eastAsia="zh-CN"/>
        </w:rPr>
      </w:pPr>
      <w:r>
        <w:rPr>
          <w:rFonts w:hint="eastAsia"/>
          <w:sz w:val="20"/>
          <w:szCs w:val="20"/>
          <w:lang w:val="en-US" w:eastAsia="zh-CN"/>
        </w:rPr>
        <w:t>Since R18 focus on the co-located scenario, we think the SSB-less SCell and the reference serving cell in the same TAG is the most typical case. We are fine of not specifying RRM requirements if such condition is not fulfilled.</w:t>
      </w:r>
    </w:p>
    <w:p>
      <w:pPr>
        <w:pStyle w:val="74"/>
        <w:numPr>
          <w:ilvl w:val="0"/>
          <w:numId w:val="0"/>
        </w:numPr>
        <w:spacing w:after="120" w:line="240" w:lineRule="auto"/>
        <w:jc w:val="both"/>
        <w:rPr>
          <w:rFonts w:hint="eastAsia" w:eastAsia="宋体"/>
          <w:sz w:val="20"/>
          <w:szCs w:val="20"/>
          <w:lang w:val="en-US" w:eastAsia="zh-CN"/>
        </w:rPr>
      </w:pPr>
      <w:r>
        <w:rPr>
          <w:rFonts w:hint="eastAsia"/>
          <w:b/>
          <w:bCs/>
          <w:i/>
          <w:iCs/>
          <w:sz w:val="20"/>
          <w:szCs w:val="20"/>
        </w:rPr>
        <w:t>P</w:t>
      </w:r>
      <w:r>
        <w:rPr>
          <w:b/>
          <w:bCs/>
          <w:i/>
          <w:iCs/>
          <w:sz w:val="20"/>
          <w:szCs w:val="20"/>
        </w:rPr>
        <w:t xml:space="preserve">roposal </w:t>
      </w:r>
      <w:r>
        <w:rPr>
          <w:rFonts w:hint="eastAsia" w:eastAsia="宋体"/>
          <w:b/>
          <w:bCs/>
          <w:i/>
          <w:iCs/>
          <w:sz w:val="20"/>
          <w:szCs w:val="20"/>
          <w:lang w:val="en-US" w:eastAsia="zh-CN"/>
        </w:rPr>
        <w:t>12</w:t>
      </w:r>
      <w:r>
        <w:rPr>
          <w:b/>
          <w:bCs/>
          <w:i/>
          <w:iCs/>
          <w:sz w:val="20"/>
          <w:szCs w:val="20"/>
        </w:rPr>
        <w:t xml:space="preserve">: </w:t>
      </w:r>
      <w:r>
        <w:rPr>
          <w:rFonts w:hint="eastAsia"/>
          <w:b/>
          <w:bCs/>
          <w:i/>
          <w:iCs/>
          <w:sz w:val="20"/>
          <w:szCs w:val="20"/>
        </w:rPr>
        <w:t>No RRM requirements are specified if the SSB-less SCell is not configured in the same TAG as the reference serving cell</w:t>
      </w:r>
      <w:r>
        <w:rPr>
          <w:rFonts w:hint="eastAsia" w:eastAsia="宋体"/>
          <w:b/>
          <w:bCs/>
          <w:i/>
          <w:iCs/>
          <w:sz w:val="20"/>
          <w:szCs w:val="20"/>
          <w:lang w:val="en-US" w:eastAsia="zh-CN"/>
        </w:rPr>
        <w:t>.</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observations and proposals are concluded. </w:t>
      </w:r>
      <w:bookmarkEnd w:id="6"/>
      <w:bookmarkEnd w:id="7"/>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Observation</w:t>
      </w:r>
      <w:r>
        <w:rPr>
          <w:b/>
          <w:bCs/>
          <w:i/>
          <w:iCs/>
          <w:sz w:val="20"/>
          <w:szCs w:val="20"/>
        </w:rPr>
        <w:t xml:space="preserve"> 1: </w:t>
      </w:r>
      <w:r>
        <w:rPr>
          <w:rFonts w:hint="eastAsia"/>
          <w:b/>
          <w:bCs/>
          <w:i/>
          <w:iCs/>
          <w:sz w:val="20"/>
          <w:szCs w:val="20"/>
          <w:lang w:val="en-US" w:eastAsia="zh-CN"/>
        </w:rPr>
        <w:t>Requirements shall be considered separately for different level of  feasibility conditions.</w:t>
      </w:r>
    </w:p>
    <w:p>
      <w:pPr>
        <w:overflowPunct w:val="0"/>
        <w:autoSpaceDE w:val="0"/>
        <w:autoSpaceDN w:val="0"/>
        <w:adjustRightInd w:val="0"/>
        <w:spacing w:after="120"/>
        <w:jc w:val="both"/>
        <w:rPr>
          <w:b/>
          <w:bCs/>
          <w:i/>
          <w:iCs/>
          <w:sz w:val="20"/>
          <w:szCs w:val="20"/>
        </w:rPr>
      </w:pPr>
      <w:r>
        <w:rPr>
          <w:b/>
          <w:bCs/>
          <w:i/>
          <w:iCs/>
          <w:sz w:val="20"/>
          <w:szCs w:val="20"/>
        </w:rPr>
        <w:t xml:space="preserve">Proposal </w:t>
      </w:r>
      <w:r>
        <w:rPr>
          <w:rFonts w:hint="eastAsia"/>
          <w:b/>
          <w:bCs/>
          <w:i/>
          <w:iCs/>
          <w:sz w:val="20"/>
          <w:szCs w:val="20"/>
          <w:lang w:val="en-US" w:eastAsia="zh-CN"/>
        </w:rPr>
        <w:t>1</w:t>
      </w:r>
      <w:r>
        <w:rPr>
          <w:b/>
          <w:bCs/>
          <w:i/>
          <w:iCs/>
          <w:sz w:val="20"/>
          <w:szCs w:val="20"/>
        </w:rPr>
        <w:t xml:space="preserve">: Scenario 1 is feasible </w:t>
      </w:r>
      <w:r>
        <w:rPr>
          <w:rFonts w:hint="eastAsia"/>
          <w:b/>
          <w:bCs/>
          <w:i/>
          <w:iCs/>
          <w:sz w:val="20"/>
          <w:szCs w:val="20"/>
        </w:rPr>
        <w:t>when receiving power difference larger than 6dB.</w:t>
      </w:r>
    </w:p>
    <w:p>
      <w:pPr>
        <w:overflowPunct w:val="0"/>
        <w:autoSpaceDE w:val="0"/>
        <w:autoSpaceDN w:val="0"/>
        <w:adjustRightInd w:val="0"/>
        <w:spacing w:after="120"/>
        <w:jc w:val="both"/>
        <w:rPr>
          <w:rFonts w:hint="default" w:eastAsiaTheme="minor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w:t>
      </w:r>
      <w:r>
        <w:rPr>
          <w:rFonts w:hint="eastAsia"/>
          <w:b/>
          <w:bCs/>
          <w:i/>
          <w:iCs/>
          <w:sz w:val="20"/>
          <w:szCs w:val="20"/>
          <w:lang w:val="en-US" w:eastAsia="zh-CN"/>
        </w:rPr>
        <w:t>QCL-Type configuration between RSs is not a feasibility condition for SSB-less SCell activation.</w:t>
      </w:r>
    </w:p>
    <w:p>
      <w:pPr>
        <w:overflowPunct w:val="0"/>
        <w:autoSpaceDE w:val="0"/>
        <w:autoSpaceDN w:val="0"/>
        <w:adjustRightInd w:val="0"/>
        <w:spacing w:after="120"/>
        <w:jc w:val="both"/>
        <w:rPr>
          <w:rFonts w:hint="eastAsia"/>
          <w:b/>
          <w:bCs/>
          <w:i/>
          <w:iCs/>
          <w:sz w:val="20"/>
          <w:szCs w:val="20"/>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w:t>
      </w:r>
      <w:r>
        <w:rPr>
          <w:rFonts w:hint="eastAsia"/>
          <w:b/>
          <w:bCs/>
          <w:i/>
          <w:iCs/>
          <w:sz w:val="20"/>
          <w:szCs w:val="20"/>
        </w:rPr>
        <w:t>From network perspective, TRS is needed to be transmitted, both periodic TRS and A-TRS can support SCell activation purpose.</w:t>
      </w:r>
    </w:p>
    <w:p>
      <w:pPr>
        <w:overflowPunct w:val="0"/>
        <w:autoSpaceDE w:val="0"/>
        <w:autoSpaceDN w:val="0"/>
        <w:adjustRightInd w:val="0"/>
        <w:spacing w:after="120"/>
        <w:jc w:val="both"/>
        <w:rPr>
          <w:rFonts w:hint="default"/>
          <w:sz w:val="20"/>
          <w:szCs w:val="20"/>
          <w:lang w:val="en-US" w:eastAsia="zh-CN"/>
        </w:rPr>
      </w:pPr>
      <w:r>
        <w:rPr>
          <w:rFonts w:hint="eastAsia"/>
          <w:b/>
          <w:bCs/>
          <w:i/>
          <w:iCs/>
          <w:sz w:val="20"/>
          <w:szCs w:val="20"/>
          <w:lang w:val="en-US" w:eastAsia="zh-CN"/>
        </w:rPr>
        <w:t>Proposal 4: From UE perspective, whether TRS monitoring is needed or not depends on RTD and RPD conditions.</w:t>
      </w:r>
    </w:p>
    <w:p>
      <w:pPr>
        <w:overflowPunct w:val="0"/>
        <w:autoSpaceDE w:val="0"/>
        <w:autoSpaceDN w:val="0"/>
        <w:adjustRightInd w:val="0"/>
        <w:spacing w:before="60" w:after="120"/>
        <w:jc w:val="both"/>
        <w:rPr>
          <w:b/>
          <w:bCs/>
          <w:i/>
          <w:iCs/>
          <w:sz w:val="20"/>
          <w:szCs w:val="20"/>
        </w:rPr>
      </w:pPr>
      <w:r>
        <w:rPr>
          <w:b/>
          <w:bCs/>
          <w:i/>
          <w:iCs/>
          <w:sz w:val="20"/>
          <w:szCs w:val="20"/>
        </w:rPr>
        <w:t xml:space="preserve">Observation </w:t>
      </w:r>
      <w:r>
        <w:rPr>
          <w:rFonts w:hint="eastAsia" w:ascii="Times New Roman" w:eastAsiaTheme="minorEastAsia"/>
          <w:b/>
          <w:bCs/>
          <w:i/>
          <w:iCs/>
          <w:sz w:val="20"/>
          <w:szCs w:val="20"/>
          <w:lang w:val="en-US" w:eastAsia="zh-CN"/>
        </w:rPr>
        <w:t>2</w:t>
      </w:r>
      <w:r>
        <w:rPr>
          <w:b/>
          <w:bCs/>
          <w:i/>
          <w:iCs/>
          <w:sz w:val="20"/>
          <w:szCs w:val="20"/>
        </w:rPr>
        <w:t xml:space="preserve">: </w:t>
      </w:r>
      <w:r>
        <w:rPr>
          <w:rFonts w:hint="eastAsia"/>
          <w:b/>
          <w:bCs/>
          <w:i/>
          <w:iCs/>
          <w:sz w:val="20"/>
          <w:szCs w:val="20"/>
        </w:rPr>
        <w:t xml:space="preserve">Different side conditions correspond to different UE behavior during SCell activation, moreover, different SCell activation delay requirement, which are packaged.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ascii="Times New Roman" w:eastAsiaTheme="minorEastAsia"/>
          <w:b/>
          <w:bCs/>
          <w:i/>
          <w:iCs/>
          <w:sz w:val="20"/>
          <w:szCs w:val="20"/>
          <w:lang w:val="en-US" w:eastAsia="zh-CN"/>
        </w:rPr>
        <w:t>5</w:t>
      </w:r>
      <w:r>
        <w:rPr>
          <w:b/>
          <w:bCs/>
          <w:i/>
          <w:iCs/>
          <w:sz w:val="20"/>
          <w:szCs w:val="20"/>
        </w:rPr>
        <w:t>:</w:t>
      </w:r>
      <w:r>
        <w:rPr>
          <w:rFonts w:hint="eastAsia" w:ascii="Times New Roman" w:eastAsiaTheme="minorEastAsia"/>
          <w:b/>
          <w:bCs/>
          <w:i/>
          <w:iCs/>
          <w:sz w:val="20"/>
          <w:szCs w:val="20"/>
          <w:lang w:val="en-US" w:eastAsia="zh-CN"/>
        </w:rPr>
        <w:t xml:space="preserve"> There are three cases under Scenario 1, which are:</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ascii="Times New Roman" w:eastAsiaTheme="minorEastAsia"/>
          <w:b/>
          <w:bCs/>
          <w:i/>
          <w:iCs/>
          <w:sz w:val="20"/>
          <w:szCs w:val="20"/>
          <w:lang w:val="en-US" w:eastAsia="zh-CN"/>
        </w:rPr>
        <w:t>Case 1:</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ascii="Times New Roman" w:eastAsiaTheme="minorEastAsia"/>
          <w:b/>
          <w:bCs/>
          <w:i/>
          <w:iCs/>
          <w:sz w:val="20"/>
          <w:szCs w:val="20"/>
          <w:lang w:val="en-US" w:eastAsia="zh-CN"/>
        </w:rPr>
        <w:t xml:space="preserve">RTD: </w:t>
      </w:r>
      <w:r>
        <w:rPr>
          <w:b/>
          <w:bCs/>
          <w:i/>
          <w:iCs/>
          <w:color w:val="auto"/>
          <w:sz w:val="20"/>
          <w:szCs w:val="20"/>
          <w:highlight w:val="none"/>
        </w:rPr>
        <w:t>≤</w:t>
      </w:r>
      <w:r>
        <w:rPr>
          <w:rFonts w:hint="eastAsia" w:ascii="Times New Roman" w:eastAsiaTheme="minorEastAsia"/>
          <w:b/>
          <w:bCs/>
          <w:i/>
          <w:iCs/>
          <w:color w:val="auto"/>
          <w:sz w:val="20"/>
          <w:szCs w:val="20"/>
          <w:highlight w:val="none"/>
          <w:lang w:val="en-US" w:eastAsia="zh-CN"/>
        </w:rPr>
        <w:t xml:space="preserve"> </w:t>
      </w:r>
      <w:r>
        <w:rPr>
          <w:rFonts w:hint="eastAsia" w:ascii="Times New Roman" w:eastAsiaTheme="minorEastAsia"/>
          <w:b/>
          <w:bCs/>
          <w:i/>
          <w:iCs/>
          <w:sz w:val="20"/>
          <w:szCs w:val="20"/>
          <w:lang w:val="en-US" w:eastAsia="zh-CN"/>
        </w:rPr>
        <w:t>260ns</w:t>
      </w:r>
    </w:p>
    <w:p>
      <w:pPr>
        <w:numPr>
          <w:ilvl w:val="1"/>
          <w:numId w:val="7"/>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ascii="Times New Roman" w:eastAsiaTheme="minor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jc w:val="both"/>
        <w:rPr>
          <w:rFonts w:hint="default" w:eastAsiaTheme="minorEastAsia"/>
          <w:b/>
          <w:bCs/>
          <w:i/>
          <w:iCs/>
          <w:sz w:val="20"/>
          <w:szCs w:val="20"/>
          <w:lang w:val="en-US" w:eastAsia="zh-CN"/>
        </w:rPr>
      </w:pPr>
      <w:r>
        <w:rPr>
          <w:rFonts w:hint="eastAsia"/>
          <w:b/>
          <w:bCs/>
          <w:i/>
          <w:iCs/>
          <w:sz w:val="20"/>
          <w:szCs w:val="20"/>
        </w:rPr>
        <w:t>SCell activation delay requirement</w:t>
      </w:r>
      <w:r>
        <w:rPr>
          <w:rFonts w:hint="eastAsia" w:ascii="Times New Roman" w:eastAsiaTheme="minor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20"/>
          <w:szCs w:val="20"/>
        </w:rPr>
        <w:t>=3ms</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ascii="Times New Roman" w:eastAsiaTheme="minorEastAsia"/>
          <w:b/>
          <w:bCs/>
          <w:i/>
          <w:iCs/>
          <w:sz w:val="20"/>
          <w:szCs w:val="20"/>
          <w:lang w:val="en-US" w:eastAsia="zh-CN"/>
        </w:rPr>
        <w:t>Case 2:</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rPr>
      </w:pPr>
      <w:r>
        <w:rPr>
          <w:rFonts w:hint="eastAsia" w:ascii="Times New Roman" w:eastAsiaTheme="minorEastAsia"/>
          <w:b/>
          <w:bCs/>
          <w:i/>
          <w:iCs/>
          <w:sz w:val="20"/>
          <w:szCs w:val="20"/>
          <w:lang w:val="en-US" w:eastAsia="zh-CN"/>
        </w:rPr>
        <w:t xml:space="preserve">RTD: </w:t>
      </w:r>
      <w:r>
        <w:rPr>
          <w:b/>
          <w:bCs/>
          <w:i/>
          <w:iCs/>
          <w:color w:val="auto"/>
          <w:sz w:val="20"/>
          <w:szCs w:val="20"/>
          <w:highlight w:val="none"/>
        </w:rPr>
        <w:t>≤</w:t>
      </w:r>
      <w:r>
        <w:rPr>
          <w:rFonts w:hint="eastAsia" w:ascii="Times New Roman" w:eastAsiaTheme="minorEastAsia"/>
          <w:b/>
          <w:bCs/>
          <w:i/>
          <w:iCs/>
          <w:color w:val="auto"/>
          <w:sz w:val="20"/>
          <w:szCs w:val="20"/>
          <w:highlight w:val="none"/>
          <w:lang w:val="en-US" w:eastAsia="zh-CN"/>
        </w:rPr>
        <w:t xml:space="preserve"> </w:t>
      </w:r>
      <w:r>
        <w:rPr>
          <w:rFonts w:hint="eastAsia"/>
          <w:b/>
          <w:bCs/>
          <w:i/>
          <w:iCs/>
          <w:sz w:val="20"/>
          <w:szCs w:val="20"/>
        </w:rPr>
        <w:t>260ns &lt; RTD &lt; CP</w:t>
      </w:r>
    </w:p>
    <w:p>
      <w:pPr>
        <w:numPr>
          <w:ilvl w:val="1"/>
          <w:numId w:val="7"/>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ascii="Times New Roman" w:eastAsiaTheme="minor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jc w:val="both"/>
        <w:rPr>
          <w:b/>
          <w:bCs/>
          <w:i/>
          <w:iCs/>
          <w:sz w:val="20"/>
          <w:szCs w:val="20"/>
        </w:rPr>
      </w:pPr>
      <w:r>
        <w:rPr>
          <w:rFonts w:hint="eastAsia"/>
          <w:b/>
          <w:bCs/>
          <w:i/>
          <w:iCs/>
          <w:sz w:val="20"/>
          <w:szCs w:val="20"/>
        </w:rPr>
        <w:t>SCell activation delay requirement</w:t>
      </w:r>
      <w:r>
        <w:rPr>
          <w:rFonts w:hint="eastAsia" w:ascii="Times New Roman" w:eastAsiaTheme="minor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at least cover fine time/frequency sync delay</w:t>
      </w:r>
      <w:r>
        <w:rPr>
          <w:rFonts w:hint="eastAsia" w:ascii="Times New Roman" w:eastAsiaTheme="minorEastAsia"/>
          <w:b/>
          <w:bCs/>
          <w:i/>
          <w:iCs/>
          <w:sz w:val="20"/>
          <w:szCs w:val="20"/>
          <w:lang w:val="en-US" w:eastAsia="zh-CN"/>
        </w:rPr>
        <w:t>.</w:t>
      </w:r>
    </w:p>
    <w:p>
      <w:pPr>
        <w:numPr>
          <w:ilvl w:val="0"/>
          <w:numId w:val="7"/>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ascii="Times New Roman" w:eastAsiaTheme="minorEastAsia"/>
          <w:b/>
          <w:bCs/>
          <w:i/>
          <w:iCs/>
          <w:sz w:val="20"/>
          <w:szCs w:val="20"/>
          <w:lang w:val="en-US" w:eastAsia="zh-CN"/>
        </w:rPr>
        <w:t>Case 3:</w:t>
      </w:r>
    </w:p>
    <w:p>
      <w:pPr>
        <w:numPr>
          <w:ilvl w:val="1"/>
          <w:numId w:val="7"/>
        </w:numPr>
        <w:overflowPunct w:val="0"/>
        <w:autoSpaceDE w:val="0"/>
        <w:autoSpaceDN w:val="0"/>
        <w:adjustRightInd w:val="0"/>
        <w:spacing w:after="120"/>
        <w:ind w:left="840" w:leftChars="0" w:hanging="420" w:firstLineChars="0"/>
        <w:jc w:val="both"/>
        <w:rPr>
          <w:rFonts w:hint="eastAsia"/>
          <w:b/>
          <w:bCs/>
          <w:i/>
          <w:iCs/>
          <w:sz w:val="20"/>
          <w:szCs w:val="20"/>
        </w:rPr>
      </w:pPr>
      <w:r>
        <w:rPr>
          <w:rFonts w:hint="eastAsia" w:ascii="Times New Roman" w:eastAsiaTheme="minorEastAsia"/>
          <w:b/>
          <w:bCs/>
          <w:i/>
          <w:iCs/>
          <w:sz w:val="20"/>
          <w:szCs w:val="20"/>
          <w:lang w:val="en-US" w:eastAsia="zh-CN"/>
        </w:rPr>
        <w:t xml:space="preserve">RTD: </w:t>
      </w:r>
      <w:r>
        <w:rPr>
          <w:b/>
          <w:bCs/>
          <w:i/>
          <w:iCs/>
          <w:color w:val="auto"/>
          <w:sz w:val="20"/>
          <w:szCs w:val="20"/>
          <w:highlight w:val="none"/>
        </w:rPr>
        <w:t>≤</w:t>
      </w:r>
      <w:r>
        <w:rPr>
          <w:rFonts w:hint="eastAsia" w:ascii="Times New Roman" w:eastAsiaTheme="minorEastAsia"/>
          <w:b/>
          <w:bCs/>
          <w:i/>
          <w:iCs/>
          <w:color w:val="auto"/>
          <w:sz w:val="20"/>
          <w:szCs w:val="20"/>
          <w:highlight w:val="none"/>
          <w:lang w:val="en-US" w:eastAsia="zh-CN"/>
        </w:rPr>
        <w:t xml:space="preserve"> </w:t>
      </w:r>
      <w:r>
        <w:rPr>
          <w:rFonts w:hint="eastAsia"/>
          <w:b/>
          <w:bCs/>
          <w:i/>
          <w:iCs/>
          <w:sz w:val="20"/>
          <w:szCs w:val="20"/>
        </w:rPr>
        <w:t>260ns &lt; RTD &lt; CP</w:t>
      </w:r>
    </w:p>
    <w:p>
      <w:pPr>
        <w:numPr>
          <w:ilvl w:val="1"/>
          <w:numId w:val="7"/>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ascii="Times New Roman" w:eastAsiaTheme="minorEastAsia"/>
          <w:b/>
          <w:bCs/>
          <w:i/>
          <w:iCs/>
          <w:sz w:val="20"/>
          <w:szCs w:val="20"/>
          <w:lang w:val="en-US" w:eastAsia="zh-CN"/>
        </w:rPr>
        <w:t xml:space="preserve">RPD: Larger than </w:t>
      </w:r>
      <w:r>
        <w:rPr>
          <w:rFonts w:hint="eastAsia"/>
          <w:b/>
          <w:bCs/>
          <w:i/>
          <w:iCs/>
          <w:sz w:val="20"/>
          <w:szCs w:val="20"/>
        </w:rPr>
        <w:t>6</w:t>
      </w:r>
      <w:r>
        <w:rPr>
          <w:b/>
          <w:bCs/>
          <w:i/>
          <w:iCs/>
          <w:sz w:val="20"/>
          <w:szCs w:val="20"/>
        </w:rPr>
        <w:t>dB</w:t>
      </w:r>
    </w:p>
    <w:p>
      <w:pPr>
        <w:numPr>
          <w:ilvl w:val="1"/>
          <w:numId w:val="7"/>
        </w:numPr>
        <w:overflowPunct w:val="0"/>
        <w:autoSpaceDE w:val="0"/>
        <w:autoSpaceDN w:val="0"/>
        <w:adjustRightInd w:val="0"/>
        <w:spacing w:after="120"/>
        <w:ind w:left="840" w:leftChars="0" w:hanging="420" w:firstLineChars="0"/>
        <w:jc w:val="both"/>
        <w:rPr>
          <w:rFonts w:hint="eastAsia" w:ascii="Times New Roman" w:eastAsiaTheme="minorEastAsia"/>
          <w:b/>
          <w:bCs/>
          <w:i/>
          <w:iCs/>
          <w:sz w:val="20"/>
          <w:szCs w:val="20"/>
          <w:lang w:val="en-US" w:eastAsia="zh-CN"/>
        </w:rPr>
      </w:pPr>
      <w:r>
        <w:rPr>
          <w:rFonts w:hint="eastAsia"/>
          <w:b/>
          <w:bCs/>
          <w:i/>
          <w:iCs/>
          <w:sz w:val="20"/>
          <w:szCs w:val="20"/>
        </w:rPr>
        <w:t>SCell activation delay requirement</w:t>
      </w:r>
      <w:r>
        <w:rPr>
          <w:rFonts w:hint="eastAsia" w:ascii="Times New Roman" w:eastAsiaTheme="minor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to at least cover AGC adjust delay and fine time/frequency sync delay</w:t>
      </w:r>
      <w:r>
        <w:rPr>
          <w:rFonts w:hint="eastAsia" w:ascii="Times New Roman" w:eastAsiaTheme="minorEastAsia"/>
          <w:b/>
          <w:bCs/>
          <w:i/>
          <w:iCs/>
          <w:sz w:val="20"/>
          <w:szCs w:val="20"/>
          <w:lang w:val="en-US" w:eastAsia="zh-CN"/>
        </w:rPr>
        <w:t>.</w:t>
      </w:r>
    </w:p>
    <w:p>
      <w:pPr>
        <w:overflowPunct w:val="0"/>
        <w:autoSpaceDE w:val="0"/>
        <w:autoSpaceDN w:val="0"/>
        <w:adjustRightInd w:val="0"/>
        <w:spacing w:after="120"/>
        <w:jc w:val="both"/>
        <w:rPr>
          <w:rFonts w:hint="eastAsia"/>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rPr>
        <w:t xml:space="preserve"> </w:t>
      </w:r>
      <w:r>
        <w:rPr>
          <w:rFonts w:hint="eastAsia"/>
          <w:b/>
          <w:bCs/>
          <w:i/>
          <w:iCs/>
          <w:sz w:val="20"/>
          <w:szCs w:val="20"/>
          <w:lang w:val="en-US" w:eastAsia="zh-CN"/>
        </w:rPr>
        <w:t>W</w:t>
      </w:r>
      <w:r>
        <w:rPr>
          <w:rFonts w:hint="eastAsia"/>
          <w:b/>
          <w:bCs/>
          <w:i/>
          <w:iCs/>
          <w:sz w:val="20"/>
          <w:szCs w:val="20"/>
        </w:rPr>
        <w:t xml:space="preserve">hether UE need to </w:t>
      </w:r>
      <w:r>
        <w:rPr>
          <w:rFonts w:hint="eastAsia"/>
          <w:b/>
          <w:bCs/>
          <w:i/>
          <w:iCs/>
          <w:sz w:val="20"/>
          <w:szCs w:val="20"/>
          <w:lang w:val="en-US" w:eastAsia="zh-CN"/>
        </w:rPr>
        <w:t>perform</w:t>
      </w:r>
      <w:r>
        <w:rPr>
          <w:rFonts w:hint="eastAsia"/>
          <w:b/>
          <w:bCs/>
          <w:i/>
          <w:iCs/>
          <w:sz w:val="20"/>
          <w:szCs w:val="20"/>
        </w:rPr>
        <w:t xml:space="preserve"> L1 measurement on SSB-less SCell can up to network decision. </w:t>
      </w:r>
    </w:p>
    <w:p>
      <w:pPr>
        <w:numPr>
          <w:ilvl w:val="0"/>
          <w:numId w:val="8"/>
        </w:numPr>
        <w:overflowPunct w:val="0"/>
        <w:autoSpaceDE w:val="0"/>
        <w:autoSpaceDN w:val="0"/>
        <w:adjustRightInd w:val="0"/>
        <w:spacing w:after="120"/>
        <w:ind w:left="420" w:leftChars="0" w:hanging="420" w:firstLineChars="0"/>
        <w:jc w:val="both"/>
        <w:rPr>
          <w:rFonts w:hint="eastAsia"/>
          <w:b/>
          <w:bCs/>
          <w:i/>
          <w:iCs/>
          <w:sz w:val="20"/>
          <w:szCs w:val="20"/>
        </w:rPr>
      </w:pPr>
      <w:r>
        <w:rPr>
          <w:rFonts w:hint="eastAsia"/>
          <w:b/>
          <w:bCs/>
          <w:i/>
          <w:iCs/>
          <w:sz w:val="20"/>
          <w:szCs w:val="20"/>
        </w:rPr>
        <w:t xml:space="preserve">If network configures CSI-RS based L1 measurements to UE, then UE should perform L1 measurements, the legacy requirements can be applied. </w:t>
      </w:r>
    </w:p>
    <w:p>
      <w:pPr>
        <w:numPr>
          <w:ilvl w:val="0"/>
          <w:numId w:val="8"/>
        </w:numPr>
        <w:overflowPunct w:val="0"/>
        <w:autoSpaceDE w:val="0"/>
        <w:autoSpaceDN w:val="0"/>
        <w:adjustRightInd w:val="0"/>
        <w:spacing w:after="120"/>
        <w:ind w:left="420" w:leftChars="0" w:hanging="420" w:firstLineChars="0"/>
        <w:jc w:val="both"/>
        <w:rPr>
          <w:rFonts w:hint="eastAsia"/>
          <w:b/>
          <w:bCs/>
          <w:i/>
          <w:iCs/>
          <w:sz w:val="20"/>
          <w:szCs w:val="20"/>
        </w:rPr>
      </w:pPr>
      <w:r>
        <w:rPr>
          <w:rFonts w:hint="eastAsia"/>
          <w:b/>
          <w:bCs/>
          <w:i/>
          <w:iCs/>
          <w:sz w:val="20"/>
          <w:szCs w:val="20"/>
        </w:rPr>
        <w:t>If network doesn’t configure CSI-RS based L1 measurements to UE, then UE is not needed to perform L1 measurements.</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7</w:t>
      </w:r>
      <w:r>
        <w:rPr>
          <w:b/>
          <w:bCs/>
          <w:i/>
          <w:iCs/>
          <w:sz w:val="20"/>
          <w:szCs w:val="20"/>
        </w:rPr>
        <w:t xml:space="preserve">: </w:t>
      </w:r>
      <w:r>
        <w:rPr>
          <w:rFonts w:hint="eastAsia"/>
          <w:b/>
          <w:bCs/>
          <w:i/>
          <w:iCs/>
          <w:sz w:val="20"/>
          <w:szCs w:val="20"/>
          <w:lang w:val="en-US" w:eastAsia="zh-CN"/>
        </w:rPr>
        <w:t xml:space="preserve">The L3 measurements on SSB-less SCell can be skipped. </w:t>
      </w:r>
    </w:p>
    <w:p>
      <w:pPr>
        <w:pStyle w:val="74"/>
        <w:numPr>
          <w:ilvl w:val="0"/>
          <w:numId w:val="0"/>
        </w:numPr>
        <w:spacing w:after="120" w:line="240" w:lineRule="auto"/>
        <w:jc w:val="both"/>
        <w:rPr>
          <w:rFonts w:hint="default" w:eastAsia="宋体"/>
          <w:b/>
          <w:bCs/>
          <w:i/>
          <w:iCs/>
          <w:sz w:val="20"/>
          <w:szCs w:val="20"/>
          <w:lang w:val="en-US" w:eastAsia="zh-CN"/>
        </w:rPr>
      </w:pPr>
      <w:r>
        <w:rPr>
          <w:rFonts w:hint="eastAsia" w:eastAsia="宋体"/>
          <w:b/>
          <w:bCs/>
          <w:i/>
          <w:iCs/>
          <w:sz w:val="20"/>
          <w:szCs w:val="20"/>
          <w:lang w:val="en-US" w:eastAsia="zh-CN"/>
        </w:rPr>
        <w:t>Proposal 8: Introduce an optional indication for network to indicate which Cell/CC could be taken as reference cell during the SSB-less SCell operation.</w:t>
      </w:r>
    </w:p>
    <w:p>
      <w:pPr>
        <w:pStyle w:val="74"/>
        <w:numPr>
          <w:ilvl w:val="0"/>
          <w:numId w:val="0"/>
        </w:numPr>
        <w:spacing w:after="120" w:line="240" w:lineRule="auto"/>
        <w:jc w:val="both"/>
        <w:rPr>
          <w:rFonts w:hint="eastAsia"/>
          <w:b/>
          <w:i/>
          <w:iCs/>
          <w:sz w:val="20"/>
          <w:szCs w:val="20"/>
          <w:u w:val="single"/>
          <w:lang w:eastAsia="ko-KR"/>
        </w:rPr>
      </w:pPr>
      <w:r>
        <w:rPr>
          <w:rFonts w:hint="eastAsia" w:eastAsia="宋体"/>
          <w:b/>
          <w:bCs/>
          <w:i/>
          <w:iCs/>
          <w:sz w:val="20"/>
          <w:szCs w:val="20"/>
          <w:lang w:val="en-US" w:eastAsia="zh-CN"/>
        </w:rPr>
        <w:t>Proposal 9: If network doesn</w:t>
      </w:r>
      <w:r>
        <w:rPr>
          <w:rFonts w:hint="default" w:eastAsia="宋体"/>
          <w:b/>
          <w:bCs/>
          <w:i/>
          <w:iCs/>
          <w:sz w:val="20"/>
          <w:szCs w:val="20"/>
          <w:lang w:val="en-US" w:eastAsia="zh-CN"/>
        </w:rPr>
        <w:t>’</w:t>
      </w:r>
      <w:r>
        <w:rPr>
          <w:rFonts w:hint="eastAsia" w:eastAsia="宋体"/>
          <w:b/>
          <w:bCs/>
          <w:i/>
          <w:iCs/>
          <w:sz w:val="20"/>
          <w:szCs w:val="20"/>
          <w:lang w:val="en-US" w:eastAsia="zh-CN"/>
        </w:rPr>
        <w:t>t indicate the reference cell, UE should first consider the PCell as the reference cell.</w:t>
      </w:r>
    </w:p>
    <w:p>
      <w:pPr>
        <w:pStyle w:val="74"/>
        <w:numPr>
          <w:ilvl w:val="0"/>
          <w:numId w:val="0"/>
        </w:numPr>
        <w:spacing w:after="120" w:line="240" w:lineRule="auto"/>
        <w:jc w:val="both"/>
        <w:rPr>
          <w:rFonts w:hint="eastAsia"/>
          <w:b/>
          <w:i/>
          <w:iCs/>
          <w:sz w:val="20"/>
          <w:szCs w:val="20"/>
          <w:u w:val="single"/>
          <w:lang w:val="en-US" w:eastAsia="zh-CN"/>
        </w:rPr>
      </w:pPr>
      <w:r>
        <w:rPr>
          <w:rFonts w:hint="eastAsia" w:eastAsia="宋体"/>
          <w:b/>
          <w:bCs/>
          <w:i/>
          <w:iCs/>
          <w:sz w:val="20"/>
          <w:szCs w:val="20"/>
          <w:lang w:val="en-US" w:eastAsia="zh-CN"/>
        </w:rPr>
        <w:t>Proposal 10: The UE capability for inter-band SSB less SCell activation can be defined per band combination.</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11</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pStyle w:val="74"/>
        <w:numPr>
          <w:ilvl w:val="0"/>
          <w:numId w:val="0"/>
        </w:numPr>
        <w:spacing w:after="120" w:line="240" w:lineRule="auto"/>
        <w:jc w:val="both"/>
        <w:rPr>
          <w:rFonts w:hint="eastAsia" w:eastAsia="宋体"/>
          <w:sz w:val="20"/>
          <w:szCs w:val="20"/>
          <w:lang w:val="en-US" w:eastAsia="zh-CN"/>
        </w:rPr>
      </w:pPr>
      <w:r>
        <w:rPr>
          <w:rFonts w:hint="eastAsia"/>
          <w:b/>
          <w:bCs/>
          <w:i/>
          <w:iCs/>
          <w:sz w:val="20"/>
          <w:szCs w:val="20"/>
        </w:rPr>
        <w:t>P</w:t>
      </w:r>
      <w:r>
        <w:rPr>
          <w:b/>
          <w:bCs/>
          <w:i/>
          <w:iCs/>
          <w:sz w:val="20"/>
          <w:szCs w:val="20"/>
        </w:rPr>
        <w:t xml:space="preserve">roposal </w:t>
      </w:r>
      <w:r>
        <w:rPr>
          <w:rFonts w:hint="eastAsia" w:eastAsia="宋体"/>
          <w:b/>
          <w:bCs/>
          <w:i/>
          <w:iCs/>
          <w:sz w:val="20"/>
          <w:szCs w:val="20"/>
          <w:lang w:val="en-US" w:eastAsia="zh-CN"/>
        </w:rPr>
        <w:t>12</w:t>
      </w:r>
      <w:r>
        <w:rPr>
          <w:b/>
          <w:bCs/>
          <w:i/>
          <w:iCs/>
          <w:sz w:val="20"/>
          <w:szCs w:val="20"/>
        </w:rPr>
        <w:t xml:space="preserve">: </w:t>
      </w:r>
      <w:r>
        <w:rPr>
          <w:rFonts w:hint="eastAsia"/>
          <w:b/>
          <w:bCs/>
          <w:i/>
          <w:iCs/>
          <w:sz w:val="20"/>
          <w:szCs w:val="20"/>
        </w:rPr>
        <w:t>No RRM requirements are specified if the SSB-less SCell is not configured in the same TAG as the reference serving cell</w:t>
      </w:r>
      <w:r>
        <w:rPr>
          <w:rFonts w:hint="eastAsia" w:eastAsia="宋体"/>
          <w:b/>
          <w:bCs/>
          <w:i/>
          <w:iCs/>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eastAsia"/>
          <w:sz w:val="20"/>
          <w:szCs w:val="20"/>
          <w:lang w:val="en-GB" w:eastAsia="zh-CN"/>
        </w:rPr>
      </w:pPr>
      <w:r>
        <w:rPr>
          <w:rFonts w:hint="eastAsia"/>
          <w:sz w:val="20"/>
          <w:szCs w:val="20"/>
          <w:lang w:val="en-GB"/>
        </w:rPr>
        <w:t>[</w:t>
      </w:r>
      <w:r>
        <w:rPr>
          <w:sz w:val="20"/>
          <w:szCs w:val="20"/>
          <w:lang w:val="en-GB"/>
        </w:rPr>
        <w:t>1] R4-</w:t>
      </w:r>
      <w:r>
        <w:rPr>
          <w:rFonts w:hint="eastAsia"/>
          <w:sz w:val="20"/>
          <w:szCs w:val="20"/>
          <w:lang w:val="en-US" w:eastAsia="zh-CN"/>
        </w:rPr>
        <w:t>2314381</w:t>
      </w:r>
      <w:r>
        <w:rPr>
          <w:rFonts w:hint="eastAsia"/>
          <w:sz w:val="20"/>
          <w:szCs w:val="20"/>
          <w:lang w:val="en-GB" w:eastAsia="zh-CN"/>
        </w:rPr>
        <w:t>,</w:t>
      </w:r>
      <w:r>
        <w:rPr>
          <w:rFonts w:hint="eastAsia"/>
          <w:sz w:val="20"/>
          <w:szCs w:val="20"/>
          <w:lang w:val="en-US" w:eastAsia="zh-CN"/>
        </w:rPr>
        <w:t xml:space="preserve"> WF on RRM requirements for NR network energy saving</w:t>
      </w:r>
      <w:r>
        <w:rPr>
          <w:rFonts w:hint="eastAsia"/>
          <w:sz w:val="20"/>
          <w:szCs w:val="20"/>
          <w:lang w:val="en-GB" w:eastAsia="zh-CN"/>
        </w:rPr>
        <w:t>, 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72133"/>
    <w:multiLevelType w:val="singleLevel"/>
    <w:tmpl w:val="84972133"/>
    <w:lvl w:ilvl="0" w:tentative="0">
      <w:start w:val="1"/>
      <w:numFmt w:val="bullet"/>
      <w:lvlText w:val=""/>
      <w:lvlJc w:val="left"/>
      <w:pPr>
        <w:ind w:left="420" w:hanging="420"/>
      </w:pPr>
      <w:rPr>
        <w:rFonts w:hint="default" w:ascii="Wingdings" w:hAnsi="Wingdings"/>
      </w:rPr>
    </w:lvl>
  </w:abstractNum>
  <w:abstractNum w:abstractNumId="1">
    <w:nsid w:val="C92CFF84"/>
    <w:multiLevelType w:val="singleLevel"/>
    <w:tmpl w:val="C92CFF84"/>
    <w:lvl w:ilvl="0" w:tentative="0">
      <w:start w:val="1"/>
      <w:numFmt w:val="bullet"/>
      <w:lvlText w:val=""/>
      <w:lvlJc w:val="left"/>
      <w:pPr>
        <w:ind w:left="420" w:hanging="420"/>
      </w:pPr>
      <w:rPr>
        <w:rFonts w:hint="default" w:ascii="Wingdings" w:hAnsi="Wingdings"/>
      </w:rPr>
    </w:lvl>
  </w:abstractNum>
  <w:abstractNum w:abstractNumId="2">
    <w:nsid w:val="23139A19"/>
    <w:multiLevelType w:val="multilevel"/>
    <w:tmpl w:val="23139A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7267C66"/>
    <w:multiLevelType w:val="multilevel"/>
    <w:tmpl w:val="67267C66"/>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center"/>
      <w:pPr>
        <w:ind w:left="2060" w:hanging="440"/>
      </w:pPr>
      <w:rPr>
        <w:rFonts w:hint="default" w:ascii="Arial" w:hAnsi="Arial"/>
      </w:rPr>
    </w:lvl>
    <w:lvl w:ilvl="3" w:tentative="0">
      <w:start w:val="1"/>
      <w:numFmt w:val="bullet"/>
      <w:lvlText w:val="•"/>
      <w:lvlJc w:val="center"/>
      <w:pPr>
        <w:ind w:left="2600" w:hanging="440"/>
      </w:pPr>
      <w:rPr>
        <w:rFonts w:hint="default" w:ascii="Arial" w:hAnsi="Arial"/>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6">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5"/>
  </w:num>
  <w:num w:numId="5">
    <w:abstractNumId w:val="1"/>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059B2FBB"/>
    <w:rsid w:val="06C938D1"/>
    <w:rsid w:val="091F2183"/>
    <w:rsid w:val="0AC91636"/>
    <w:rsid w:val="105C4837"/>
    <w:rsid w:val="12FB52D6"/>
    <w:rsid w:val="144F009D"/>
    <w:rsid w:val="175519EF"/>
    <w:rsid w:val="198E3F9B"/>
    <w:rsid w:val="19977565"/>
    <w:rsid w:val="1C4140A3"/>
    <w:rsid w:val="1D5B4C92"/>
    <w:rsid w:val="1DE54287"/>
    <w:rsid w:val="1EB2708E"/>
    <w:rsid w:val="21F31B70"/>
    <w:rsid w:val="22394DC0"/>
    <w:rsid w:val="26455B2C"/>
    <w:rsid w:val="2884631A"/>
    <w:rsid w:val="28A67D37"/>
    <w:rsid w:val="2A2B6CE0"/>
    <w:rsid w:val="2A807AE4"/>
    <w:rsid w:val="2C5C2FEC"/>
    <w:rsid w:val="2F5838B9"/>
    <w:rsid w:val="328A418D"/>
    <w:rsid w:val="34785525"/>
    <w:rsid w:val="3A10328B"/>
    <w:rsid w:val="3DCE20FC"/>
    <w:rsid w:val="42272596"/>
    <w:rsid w:val="46A8131D"/>
    <w:rsid w:val="46DB4C8A"/>
    <w:rsid w:val="47B63C6D"/>
    <w:rsid w:val="4AA27C3D"/>
    <w:rsid w:val="4B1E335D"/>
    <w:rsid w:val="4B920C94"/>
    <w:rsid w:val="4E2931CA"/>
    <w:rsid w:val="4E4D5343"/>
    <w:rsid w:val="52F014E6"/>
    <w:rsid w:val="541B64BA"/>
    <w:rsid w:val="55633225"/>
    <w:rsid w:val="56864D16"/>
    <w:rsid w:val="575F74D4"/>
    <w:rsid w:val="58AA2F55"/>
    <w:rsid w:val="59316355"/>
    <w:rsid w:val="5A0D7524"/>
    <w:rsid w:val="5B1248DB"/>
    <w:rsid w:val="5EC475D6"/>
    <w:rsid w:val="5EFC6FEB"/>
    <w:rsid w:val="667C7355"/>
    <w:rsid w:val="6A1B0A0D"/>
    <w:rsid w:val="6BDC7C84"/>
    <w:rsid w:val="6CEC68F6"/>
    <w:rsid w:val="727805A8"/>
    <w:rsid w:val="767543BB"/>
    <w:rsid w:val="7B2569DF"/>
    <w:rsid w:val="7BBB337B"/>
    <w:rsid w:val="7C3B4CC2"/>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99"/>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basedOn w:val="21"/>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99"/>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Proposal"/>
    <w:basedOn w:val="1"/>
    <w:link w:val="82"/>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2">
    <w:name w:val="Proposal Char"/>
    <w:link w:val="81"/>
    <w:qFormat/>
    <w:uiPriority w:val="0"/>
    <w:rPr>
      <w:rFonts w:ascii="Arial" w:hAnsi="Arial" w:eastAsia="宋体"/>
      <w:b/>
      <w:bCs/>
      <w:lang w:val="en-GB"/>
    </w:rPr>
  </w:style>
  <w:style w:type="character" w:customStyle="1" w:styleId="83">
    <w:name w:val="normaltextrun"/>
    <w:basedOn w:val="21"/>
    <w:qFormat/>
    <w:uiPriority w:val="0"/>
  </w:style>
  <w:style w:type="paragraph" w:customStyle="1" w:styleId="84">
    <w:name w:val="Comments"/>
    <w:basedOn w:val="1"/>
    <w:link w:val="85"/>
    <w:qFormat/>
    <w:uiPriority w:val="0"/>
    <w:pPr>
      <w:spacing w:before="40"/>
    </w:pPr>
    <w:rPr>
      <w:rFonts w:ascii="Arial" w:hAnsi="Arial" w:eastAsia="MS Mincho"/>
      <w:i/>
      <w:sz w:val="18"/>
      <w:lang w:val="en-GB" w:eastAsia="en-GB"/>
    </w:rPr>
  </w:style>
  <w:style w:type="character" w:customStyle="1" w:styleId="85">
    <w:name w:val="Comments Char"/>
    <w:link w:val="84"/>
    <w:qFormat/>
    <w:uiPriority w:val="0"/>
    <w:rPr>
      <w:rFonts w:ascii="Arial" w:hAnsi="Arial" w:eastAsia="MS Mincho"/>
      <w:i/>
      <w:sz w:val="18"/>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2023-09-26T12:42:58Z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